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left="57" w:right="57" w:firstLine="720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widowControl w:val="false"/>
        <w:spacing w:lineRule="auto" w:line="240" w:before="0" w:after="0"/>
        <w:ind w:left="57" w:right="57" w:firstLine="720"/>
        <w:jc w:val="center"/>
        <w:rPr/>
      </w:pPr>
      <w:r>
        <w:rPr>
          <w:rFonts w:ascii="Times New Roman" w:hAnsi="Times New Roman"/>
          <w:b/>
          <w:sz w:val="24"/>
        </w:rPr>
        <w:t>ДОГОВОР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№ 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color w:val="000000"/>
          <w:spacing w:val="-1"/>
          <w:sz w:val="24"/>
        </w:rPr>
        <w:t xml:space="preserve">об обеспечении охраны </w:t>
      </w:r>
      <w:r>
        <w:rPr>
          <w:rFonts w:ascii="Times New Roman" w:hAnsi="Times New Roman"/>
          <w:b/>
          <w:sz w:val="24"/>
        </w:rPr>
        <w:t>объектов</w:t>
      </w:r>
      <w:r>
        <w:rPr>
          <w:rFonts w:ascii="Times New Roman" w:hAnsi="Times New Roman"/>
          <w:b/>
          <w:color w:val="000000"/>
          <w:spacing w:val="-1"/>
          <w:sz w:val="24"/>
        </w:rPr>
        <w:t xml:space="preserve"> с помощью комплекса технических средств «охранной» сигнализации</w:t>
      </w:r>
      <w:r>
        <w:rPr>
          <w:rFonts w:ascii="Times New Roman" w:hAnsi="Times New Roman"/>
          <w:b/>
          <w:sz w:val="24"/>
        </w:rPr>
        <w:t>, подключенных к ПЦО ФГКУ «УВО ВНГ России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по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Ростовской области»</w:t>
      </w:r>
    </w:p>
    <w:p>
      <w:pPr>
        <w:pStyle w:val="Normal"/>
        <w:widowControl w:val="false"/>
        <w:spacing w:lineRule="auto" w:line="240" w:before="0" w:after="0"/>
        <w:ind w:left="0" w:right="57" w:hanging="0"/>
        <w:jc w:val="center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</w:r>
    </w:p>
    <w:p>
      <w:pPr>
        <w:pStyle w:val="Normal"/>
        <w:widowControl w:val="false"/>
        <w:spacing w:lineRule="auto" w:line="240" w:before="0" w:after="0"/>
        <w:ind w:left="0" w:right="57" w:hanging="0"/>
        <w:jc w:val="center"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b/>
          <w:sz w:val="24"/>
          <w:u w:val="single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Times New Roman" w:hAnsi="Times New Roman"/>
          <w:sz w:val="24"/>
        </w:rPr>
        <w:t>г. Ростов-на-Дону</w:t>
        <w:tab/>
        <w:tab/>
        <w:tab/>
        <w:tab/>
        <w:tab/>
        <w:tab/>
        <w:tab/>
        <w:t>« ___ » ________ 202__ г.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57" w:firstLine="540"/>
        <w:jc w:val="both"/>
        <w:rPr/>
      </w:pPr>
      <w:r>
        <w:rPr>
          <w:rFonts w:ascii="Times New Roman" w:hAnsi="Times New Roman"/>
          <w:b w:val="false"/>
          <w:color w:val="000000"/>
          <w:sz w:val="24"/>
          <w:highlight w:val="white"/>
        </w:rPr>
        <w:t xml:space="preserve">Федеральное государственное казенное учреждение «Управление вневедомственной охраны войск национальной гвардии Российской Федерации по </w:t>
      </w:r>
      <w:r>
        <w:rPr>
          <w:rFonts w:ascii="Times New Roman" w:hAnsi="Times New Roman"/>
          <w:sz w:val="24"/>
        </w:rPr>
        <w:t>Ростовской области</w:t>
      </w:r>
      <w:r>
        <w:rPr>
          <w:rFonts w:ascii="Times New Roman" w:hAnsi="Times New Roman"/>
          <w:b w:val="false"/>
          <w:color w:val="000000"/>
          <w:sz w:val="24"/>
          <w:highlight w:val="white"/>
        </w:rPr>
        <w:t>» (ФГКУ «УВО ВНГ России по Ростовской области»), именуемое в дальнейшем «ИСПОЛНИТЕЛЬ», в лице начальника</w:t>
      </w:r>
      <w:r>
        <w:rPr>
          <w:rFonts w:ascii="Times New Roman" w:hAnsi="Times New Roman"/>
          <w:sz w:val="24"/>
        </w:rPr>
        <w:t xml:space="preserve"> федерального государственного казенного учреждения «Управлени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 вневедомственной охраны войск национальной гвардии Российской Федерации по Ростовской области»___________________________________</w:t>
      </w:r>
      <w:r>
        <w:rPr>
          <w:sz w:val="24"/>
        </w:rPr>
        <w:t xml:space="preserve"> (</w:t>
      </w:r>
      <w:r>
        <w:rPr>
          <w:rFonts w:ascii="Times New Roman" w:hAnsi="Times New Roman"/>
          <w:sz w:val="24"/>
        </w:rPr>
        <w:t>ФИО), действующего на основании_____________________________________________________,</w:t>
      </w:r>
      <w:r>
        <w:rPr>
          <w:rFonts w:ascii="Times New Roman" w:hAnsi="Times New Roman"/>
          <w:b w:val="false"/>
          <w:color w:val="000000"/>
          <w:sz w:val="24"/>
          <w:highlight w:val="white"/>
        </w:rPr>
        <w:t xml:space="preserve"> и _____________________________________________________________________________, именуемое в дальнейшем «ЗАКАЗЧИК», в лице ______________________________________________________________________________, действующего на основании _____________________________________________________, с другой стороны, а вместе именуемые «СТОРОНЫ»</w:t>
      </w:r>
      <w:r>
        <w:rPr>
          <w:rFonts w:ascii="Times New Roman" w:hAnsi="Times New Roman"/>
          <w:sz w:val="24"/>
        </w:rPr>
        <w:t>, заключили настоящий договор о нижеследующем:</w:t>
      </w:r>
    </w:p>
    <w:p>
      <w:pPr>
        <w:pStyle w:val="Normal"/>
        <w:widowControl w:val="false"/>
        <w:spacing w:lineRule="auto" w:line="240" w:before="0" w:after="0"/>
        <w:ind w:left="10" w:right="0" w:hanging="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</w:r>
    </w:p>
    <w:p>
      <w:pPr>
        <w:pStyle w:val="Normal"/>
        <w:widowControl w:val="false"/>
        <w:spacing w:lineRule="auto" w:line="240" w:before="0" w:after="0"/>
        <w:ind w:left="10" w:right="0" w:hanging="0"/>
        <w:jc w:val="center"/>
        <w:rPr/>
      </w:pPr>
      <w:r>
        <w:rPr>
          <w:rFonts w:ascii="Times New Roman" w:hAnsi="Times New Roman"/>
          <w:b/>
          <w:color w:val="000000"/>
          <w:sz w:val="24"/>
        </w:rPr>
        <w:t>1. ПРЕДМЕТ ДОГОВОРА</w:t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1.1. «ЗАКАЗЧИК» поручает, а «ИСПОЛНИТЕЛЬ» принимает на себя обязательство на условиях настоящего договора по обеспечению </w:t>
      </w:r>
      <w:r>
        <w:rPr>
          <w:rFonts w:ascii="Times New Roman" w:hAnsi="Times New Roman"/>
          <w:color w:val="000000"/>
          <w:spacing w:val="-1"/>
          <w:sz w:val="24"/>
        </w:rPr>
        <w:t xml:space="preserve">охраны имущества «ЗАКАЗЧИКА» с помощью комплекса технических средств </w:t>
      </w:r>
      <w:r>
        <w:rPr>
          <w:rFonts w:ascii="Times New Roman" w:hAnsi="Times New Roman"/>
          <w:b/>
          <w:color w:val="000000"/>
          <w:spacing w:val="-1"/>
          <w:sz w:val="24"/>
        </w:rPr>
        <w:t>«охранной»</w:t>
      </w:r>
      <w:r>
        <w:rPr>
          <w:rFonts w:ascii="Times New Roman" w:hAnsi="Times New Roman"/>
          <w:color w:val="000000"/>
          <w:spacing w:val="-1"/>
          <w:sz w:val="24"/>
        </w:rPr>
        <w:t xml:space="preserve"> сигнализации (далее – Комплекс)</w:t>
      </w:r>
      <w:r>
        <w:rPr>
          <w:rFonts w:ascii="Times New Roman" w:hAnsi="Times New Roman"/>
          <w:sz w:val="24"/>
        </w:rPr>
        <w:t>, установленных в помещениях «ЗАКАЗЧИКА» (далее - «Объект») и подключенных к пункту централизованной охраны (далее – ПЦО), выдающих по каналам связи информацию на системы передачи извещений (далее - СПИ) ПЦО «ИСПОЛНИТЕЛЯ» о несанкционированном проникновении посторонних лиц на «Объект»,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>путём прибытия наряда вневедомственной охраны в кратчайшие сроки с учетом наиболее оптимально выбранного маршрута движения, и принятия мер, согласно Федерального закона от 03.07.2016 № 226-ФЗ «О войсках национальной гвардии Российской Федерации», по пресечению противоправных действий и задержанию лиц, их осуществляющих.</w:t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1.2. «ЗАКАЗЧИК» осуществляет оплату за услуги «ИСПОЛНИТЕЛЯ» в размере и порядке, предусмотренном настоящим договором.</w:t>
      </w:r>
    </w:p>
    <w:p>
      <w:pPr>
        <w:pStyle w:val="Normal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1.3. «Объект» оборудуется комплексом технических средств </w:t>
      </w:r>
      <w:r>
        <w:rPr>
          <w:rFonts w:ascii="Times New Roman" w:hAnsi="Times New Roman"/>
          <w:b/>
          <w:color w:val="000000"/>
          <w:spacing w:val="-1"/>
          <w:sz w:val="24"/>
        </w:rPr>
        <w:t>«охранной»</w:t>
      </w:r>
      <w:r>
        <w:rPr>
          <w:rFonts w:ascii="Times New Roman" w:hAnsi="Times New Roman"/>
          <w:color w:val="000000"/>
          <w:spacing w:val="-1"/>
          <w:sz w:val="24"/>
        </w:rPr>
        <w:t xml:space="preserve"> сигнализации </w:t>
      </w:r>
      <w:r>
        <w:rPr>
          <w:rFonts w:ascii="Times New Roman" w:hAnsi="Times New Roman"/>
          <w:sz w:val="24"/>
        </w:rPr>
        <w:t>(далее «Комплекс»), согласно проектной документации, охрана осуществляется согласно перечню охраняемых объектов (далее – Приложение № 1), который прилагается к договору и является его неотъемлемой частью .</w:t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>
          <w:highlight w:val="darkGreen"/>
        </w:rPr>
      </w:pPr>
      <w:r>
        <w:rPr>
          <w:rFonts w:ascii="Times New Roman" w:hAnsi="Times New Roman"/>
          <w:sz w:val="24"/>
        </w:rPr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center"/>
        <w:rPr/>
      </w:pPr>
      <w:r>
        <w:rPr>
          <w:rFonts w:ascii="Times New Roman" w:hAnsi="Times New Roman"/>
          <w:b/>
          <w:color w:val="000000"/>
          <w:spacing w:val="-9"/>
          <w:sz w:val="24"/>
        </w:rPr>
        <w:t>2.</w:t>
      </w:r>
      <w:r>
        <w:rPr>
          <w:rFonts w:ascii="Times New Roman" w:hAnsi="Times New Roman"/>
          <w:b/>
          <w:color w:val="000000"/>
          <w:sz w:val="24"/>
        </w:rPr>
        <w:t xml:space="preserve"> </w:t>
      </w:r>
      <w:r>
        <w:rPr>
          <w:rFonts w:ascii="Times New Roman" w:hAnsi="Times New Roman"/>
          <w:b/>
          <w:color w:val="000000"/>
          <w:spacing w:val="-4"/>
          <w:sz w:val="24"/>
        </w:rPr>
        <w:t>ОБЩИЕ ПОЛОЖЕНИЯ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2.1. Реагирование на сигнал «Тревога» осуществляется в соответствии с Федеральным законом от 03.07.2016 № 226-ФЗ «О войсках национальной гвардии Российской Федерации», нормативными актами Росгвардии и иными документами. Требования данных документов являются обязательными для Сторон.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pacing w:val="-5"/>
          <w:sz w:val="24"/>
        </w:rPr>
        <w:t>2.2. Контроль за состоянием «Объекта» заключается в централизованном наблюдении за «Комплексом» «</w:t>
      </w:r>
      <w:r>
        <w:rPr>
          <w:rFonts w:ascii="Times New Roman" w:hAnsi="Times New Roman"/>
          <w:b/>
          <w:color w:val="000000"/>
          <w:spacing w:val="-5"/>
          <w:sz w:val="24"/>
        </w:rPr>
        <w:t>охранной</w:t>
      </w:r>
      <w:r>
        <w:rPr>
          <w:rFonts w:ascii="Times New Roman" w:hAnsi="Times New Roman"/>
          <w:color w:val="000000"/>
          <w:spacing w:val="-5"/>
          <w:sz w:val="24"/>
        </w:rPr>
        <w:t xml:space="preserve">» сигнализации, </w:t>
      </w:r>
      <w:r>
        <w:rPr>
          <w:rFonts w:ascii="Times New Roman" w:hAnsi="Times New Roman"/>
          <w:sz w:val="24"/>
        </w:rPr>
        <w:t xml:space="preserve">установленного на «Объекте» и подключенного к ПЦО, выдающих по каналам связи информацию на СПИ ПЦО «ИСПОЛНИТЕЛЯ» о несанкционированном проникновении посторонних лиц на «Объекте» </w:t>
      </w:r>
      <w:r>
        <w:rPr>
          <w:rFonts w:ascii="Times New Roman" w:hAnsi="Times New Roman"/>
          <w:color w:val="000000"/>
          <w:spacing w:val="-5"/>
          <w:sz w:val="24"/>
        </w:rPr>
        <w:t>с момента приема «</w:t>
      </w:r>
      <w:r>
        <w:rPr>
          <w:rFonts w:ascii="Times New Roman" w:hAnsi="Times New Roman"/>
          <w:b/>
          <w:color w:val="000000"/>
          <w:spacing w:val="-5"/>
          <w:sz w:val="24"/>
        </w:rPr>
        <w:t>охранной</w:t>
      </w:r>
      <w:r>
        <w:rPr>
          <w:rFonts w:ascii="Times New Roman" w:hAnsi="Times New Roman"/>
          <w:color w:val="000000"/>
          <w:spacing w:val="-5"/>
          <w:sz w:val="24"/>
        </w:rPr>
        <w:t xml:space="preserve">» сигнализации под охрану ПЦО до ее снятия с охраны ПЦО </w:t>
      </w:r>
      <w:r>
        <w:rPr>
          <w:rFonts w:ascii="Times New Roman" w:hAnsi="Times New Roman"/>
          <w:color w:val="000000"/>
          <w:sz w:val="24"/>
        </w:rPr>
        <w:t>«ЗАКАЗЧИКОМ» либо его представителем</w:t>
      </w:r>
      <w:r>
        <w:rPr>
          <w:rFonts w:ascii="Times New Roman" w:hAnsi="Times New Roman"/>
          <w:color w:val="000000"/>
          <w:spacing w:val="-5"/>
          <w:sz w:val="24"/>
        </w:rPr>
        <w:t xml:space="preserve">, согласно времени, указанного в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pacing w:val="-5"/>
          <w:sz w:val="24"/>
        </w:rPr>
        <w:t>е.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2.3. </w:t>
      </w:r>
      <w:r>
        <w:rPr>
          <w:rFonts w:ascii="Times New Roman" w:hAnsi="Times New Roman"/>
          <w:color w:val="000000"/>
          <w:spacing w:val="-2"/>
          <w:sz w:val="24"/>
        </w:rPr>
        <w:t>«ИСПОЛНИТЕЛЬ» совместно с «</w:t>
      </w:r>
      <w:r>
        <w:rPr>
          <w:rFonts w:ascii="Times New Roman" w:hAnsi="Times New Roman"/>
          <w:color w:val="000000"/>
          <w:sz w:val="24"/>
        </w:rPr>
        <w:t xml:space="preserve">ЗАКАЗЧИКОМ» и организацией, осуществляющей монтажные работы «Комплекса», определяют техническое состояние принимаемого под охрану «Объекта», определяют </w:t>
      </w:r>
      <w:r>
        <w:rPr>
          <w:rFonts w:ascii="Times New Roman" w:hAnsi="Times New Roman"/>
          <w:color w:val="000000"/>
          <w:spacing w:val="-2"/>
          <w:sz w:val="24"/>
        </w:rPr>
        <w:t>места установки «</w:t>
      </w:r>
      <w:r>
        <w:rPr>
          <w:rFonts w:ascii="Times New Roman" w:hAnsi="Times New Roman"/>
          <w:b/>
          <w:color w:val="000000"/>
          <w:spacing w:val="-2"/>
          <w:sz w:val="24"/>
        </w:rPr>
        <w:t>охранной</w:t>
      </w:r>
      <w:r>
        <w:rPr>
          <w:rFonts w:ascii="Times New Roman" w:hAnsi="Times New Roman"/>
          <w:color w:val="000000"/>
          <w:spacing w:val="-2"/>
          <w:sz w:val="24"/>
        </w:rPr>
        <w:t>» сигнализации на объекте</w:t>
      </w:r>
      <w:r>
        <w:rPr>
          <w:rFonts w:ascii="Times New Roman" w:hAnsi="Times New Roman"/>
          <w:color w:val="000000"/>
          <w:sz w:val="24"/>
        </w:rPr>
        <w:t xml:space="preserve">, что указывается в трехстороннем акте обследования, составляемом до заключения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а. </w:t>
      </w:r>
      <w:r>
        <w:rPr>
          <w:rFonts w:ascii="Times New Roman" w:hAnsi="Times New Roman"/>
          <w:sz w:val="24"/>
        </w:rPr>
        <w:t xml:space="preserve">Договор </w:t>
      </w:r>
      <w:r>
        <w:rPr>
          <w:rFonts w:ascii="Times New Roman" w:hAnsi="Times New Roman"/>
          <w:color w:val="000000"/>
          <w:sz w:val="24"/>
        </w:rPr>
        <w:t>заключается после оборудования «Объекта» средствами СПИ, в соответствии с утвержденной проектно-сметной документацией.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pacing w:val="-5"/>
          <w:sz w:val="24"/>
        </w:rPr>
        <w:t>2.4. «Объекты», передаваемые под охрану, должны отвечать требованиям и нормам проектирования по защите объектов от преступных посягательств, установленными нормативными актами РФ.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2.5. Последующее обследование технического состояния «Объекта», подключенного на ПЦО производится при необходимости, но не реже двух раз в год, представителями «ИСПОЛНИТЕЛЯ», организации осуществляющей техническое обслуживание «Комплекса» и «ЗАКАЗЧИКА» с составлением актов обследования, которые приобщаются к договору и становятся неотъемлемой его частью, с указанием в них недостатков по работоспособности СПИ, а также необходимых мероприятий по их устранению и сроков выполнения этих мероприятий.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2.6. Охрана «Объекта», подключенного к ПЦО осуществляется в дни и часы, указанные в прилагаемом к договору Приложении № 1. «ЗАКАЗЧИК» вправе устанавливать и изменять время охраны «Объекта», подключенного на ПЦО по письменному согласованию с «ИСПОЛНИТЕЛЕМ» с внесением изменений в Приложение № 1 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2.7. Передача «ИСПОЛНИТЕЛЮ» «Объекта» под охрану, а также прием его из-под охраны производится «ЗАКАЗЧИКОМ».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2.8. Монтаж и техническое обслуживание «Комплекса» «ИСПОЛНИТЕЛЕМ» не осуществляется. Техническое обслуживание осуществляется организацией, заключившей с «ЗАКАЗЧИКОМ» договор на обслуживание «Комплекса».</w:t>
      </w:r>
    </w:p>
    <w:p>
      <w:pPr>
        <w:pStyle w:val="Normal"/>
        <w:widowControl w:val="false"/>
        <w:tabs>
          <w:tab w:val="clear" w:pos="708"/>
          <w:tab w:val="left" w:pos="2574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2.9. «Комплекс», установленный на «Объекте» «ЗАКАЗЧИКА»,</w:t>
      </w:r>
      <w:r>
        <w:rPr>
          <w:rFonts w:ascii="Times New Roman" w:hAnsi="Times New Roman"/>
          <w:color w:val="000000"/>
          <w:spacing w:val="-3"/>
          <w:sz w:val="24"/>
        </w:rPr>
        <w:t xml:space="preserve"> приобретается «ЗАКАЗЧИКОМ»</w:t>
      </w:r>
      <w:r>
        <w:rPr>
          <w:rFonts w:ascii="Times New Roman" w:hAnsi="Times New Roman"/>
          <w:color w:val="000000"/>
          <w:sz w:val="24"/>
        </w:rPr>
        <w:t>.</w:t>
      </w:r>
    </w:p>
    <w:p>
      <w:pPr>
        <w:pStyle w:val="Normal"/>
        <w:widowControl w:val="false"/>
        <w:tabs>
          <w:tab w:val="clear" w:pos="708"/>
          <w:tab w:val="left" w:pos="2574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Оборудование и дооборудование «Объекта» СПИ, а также последующий текущий и капитальный ремонт этих средств производиться на основании предписаний «ИСПОЛНИТЕЛЯ» за счет «ЗАКАЗЧИКА» организацией, заключившей с «ЗАКАЗЧИКОМ»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 на техническое обслуживание «Комплекса».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2.10. </w:t>
      </w:r>
      <w:r>
        <w:rPr>
          <w:rFonts w:ascii="Times New Roman" w:hAnsi="Times New Roman"/>
          <w:color w:val="000000"/>
          <w:spacing w:val="-3"/>
          <w:sz w:val="24"/>
        </w:rPr>
        <w:t xml:space="preserve">Настоящий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pacing w:val="-3"/>
          <w:sz w:val="24"/>
        </w:rPr>
        <w:t xml:space="preserve"> заключается после оборудования «Объекта» </w:t>
      </w:r>
      <w:r>
        <w:rPr>
          <w:rFonts w:ascii="Times New Roman" w:hAnsi="Times New Roman"/>
          <w:color w:val="000000"/>
          <w:sz w:val="24"/>
        </w:rPr>
        <w:t>«Комплексом», контрольной проверки его работоспособности, что закрепляется актом приема «Комплекса»</w:t>
      </w:r>
      <w:r>
        <w:rPr>
          <w:rFonts w:ascii="Times New Roman" w:hAnsi="Times New Roman"/>
          <w:color w:val="000000"/>
          <w:spacing w:val="-5"/>
          <w:sz w:val="24"/>
        </w:rPr>
        <w:t xml:space="preserve"> в эксплуатацию, </w:t>
      </w:r>
      <w:r>
        <w:rPr>
          <w:rFonts w:ascii="Times New Roman" w:hAnsi="Times New Roman"/>
          <w:color w:val="000000"/>
          <w:sz w:val="24"/>
        </w:rPr>
        <w:t xml:space="preserve">проведения инструктажа по правилам пользования «Комплексом» </w:t>
      </w:r>
      <w:r>
        <w:rPr>
          <w:rFonts w:ascii="Times New Roman" w:hAnsi="Times New Roman"/>
          <w:color w:val="000000"/>
          <w:spacing w:val="-5"/>
          <w:sz w:val="24"/>
        </w:rPr>
        <w:t>и подключения «Объекта» под охрану.</w:t>
      </w:r>
    </w:p>
    <w:p>
      <w:pPr>
        <w:pStyle w:val="Normal"/>
        <w:spacing w:lineRule="auto" w:line="240" w:before="0" w:after="0"/>
        <w:ind w:left="0" w:right="0" w:firstLine="540"/>
        <w:jc w:val="both"/>
        <w:rPr>
          <w:rFonts w:ascii="Times New Roman" w:hAnsi="Times New Roman"/>
          <w:color w:val="000000"/>
          <w:spacing w:val="-5"/>
          <w:sz w:val="24"/>
        </w:rPr>
      </w:pPr>
      <w:r>
        <w:rPr>
          <w:rFonts w:ascii="Times New Roman" w:hAnsi="Times New Roman"/>
          <w:color w:val="000000"/>
          <w:spacing w:val="-5"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center"/>
        <w:rPr/>
      </w:pPr>
      <w:r>
        <w:rPr>
          <w:rFonts w:ascii="Times New Roman" w:hAnsi="Times New Roman"/>
          <w:b/>
          <w:color w:val="000000"/>
          <w:sz w:val="24"/>
        </w:rPr>
        <w:t xml:space="preserve">3. ОБЯЗАННОСТИ </w:t>
      </w:r>
      <w:r>
        <w:rPr>
          <w:rFonts w:ascii="Times New Roman" w:hAnsi="Times New Roman"/>
          <w:b/>
          <w:color w:val="000000"/>
          <w:spacing w:val="-5"/>
          <w:sz w:val="24"/>
        </w:rPr>
        <w:t>«ИСПОЛНИТЕЛЯ»</w:t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3.1. Обеспечивать </w:t>
      </w:r>
      <w:r>
        <w:rPr>
          <w:rFonts w:ascii="Times New Roman" w:hAnsi="Times New Roman"/>
          <w:color w:val="000000"/>
          <w:spacing w:val="-1"/>
          <w:sz w:val="24"/>
        </w:rPr>
        <w:t>охрану имущества «ЗАКАЗЧИКА» с помощью «Комплекса»</w:t>
      </w:r>
      <w:r>
        <w:rPr>
          <w:rFonts w:ascii="Times New Roman" w:hAnsi="Times New Roman"/>
          <w:sz w:val="24"/>
        </w:rPr>
        <w:t>, установленного на «Объекте» и подключенного к ПЦО, выдающего по каналам связи информацию на СПИ ПЦО «ИСПОЛНИТЕЛЯ» о несанкционированном проникновении посторонних лиц на «Объект»,</w:t>
      </w:r>
      <w:r>
        <w:rPr>
          <w:rFonts w:ascii="Times New Roman" w:hAnsi="Times New Roman"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>путём прибытия наряда вневедомственной охраны в кратчайшие сроки с учетом наиболее оптимально выбранного маршрута движения, и принятия мер, согласно Федерального закона от 03.07.2016 № 226-ФЗ «О войсках национальной гвардии Российской Федерации», по пресечению противоправных действий и задержанию лиц, их осуществляющих.</w:t>
      </w:r>
    </w:p>
    <w:p>
      <w:pPr>
        <w:pStyle w:val="Normal"/>
        <w:widowControl w:val="false"/>
        <w:tabs>
          <w:tab w:val="clear" w:pos="708"/>
          <w:tab w:val="left" w:pos="567" w:leader="none"/>
          <w:tab w:val="left" w:pos="709" w:leader="none"/>
          <w:tab w:val="left" w:pos="851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color w:val="000000"/>
          <w:sz w:val="24"/>
        </w:rPr>
        <w:t>3.2. Осуществлять в установленном порядке прием под охрану «Объекта», указанного в Приложении № 1, а также снятие этого «Объекта» с охраны.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Порядок приема «Объекта» под охрану и сдача его «ЗАКАЗЧИКОМ» осуществляется  непосредственно из помещения, сдаваемого под охрану согласно инструкции. В</w:t>
      </w:r>
      <w:r>
        <w:rPr>
          <w:rFonts w:ascii="Times New Roman" w:hAnsi="Times New Roman"/>
          <w:sz w:val="24"/>
        </w:rPr>
        <w:t xml:space="preserve"> случае неисправности «Комплекса» – с обязательным вызовом «ЗАКАЗЧИКОМ» представителя организации, осуществляющей техническое обслуживание «Комплекса» и обязательным подключением «Объекта» под охрану после устранения неисправности в присутствии данного представителя.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3.3. В случае обнаружения признаков нарушения целостности «Объекта» в период времени, указанного в Приложении № 1 к Договору сообщать в дежурную часть органа внутренних дел и «ЗАКАЗЧИКУ» и до прибытия представителей «ЗАКАЗЧИКА», организации осуществляющей техническое обслуживание и следственно-оперативной группы ОВД обеспечивать неприкосновенность места происшествия и охрану «Объекта» (но не более одного часа с момента вызова). По прибытии Сторон на место происшествия составляется акт по факту проникновения на «Объект».</w:t>
      </w:r>
      <w:r>
        <w:rPr>
          <w:rFonts w:ascii="Times New Roman" w:hAnsi="Times New Roman"/>
          <w:spacing w:val="-5"/>
          <w:sz w:val="24"/>
        </w:rPr>
        <w:t xml:space="preserve"> При наличии явных признаков проникновения на «Объект» (открыта дверь (окно), шум, движение внутри </w:t>
      </w:r>
      <w:r>
        <w:rPr>
          <w:rFonts w:ascii="Times New Roman" w:hAnsi="Times New Roman"/>
          <w:spacing w:val="-4"/>
          <w:sz w:val="24"/>
        </w:rPr>
        <w:t xml:space="preserve">«Объекта») принять меры к задержанию лиц, находящихся на «Объекте», </w:t>
      </w:r>
      <w:r>
        <w:rPr>
          <w:rFonts w:ascii="Times New Roman" w:hAnsi="Times New Roman"/>
          <w:sz w:val="24"/>
        </w:rPr>
        <w:t>блокированию возможных путей их отхода.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3.4. В обязательном порядке совместно с представителем «ЗАКАЗЧИКА» производить вскрытие «Объекта» для внутреннего осмотра помещений с целью выяснения причин срабатывания «Комплекса». Для дальнейшего устранения причин срабатывания «ЗАКАЗЧИК» вызывает представителя организации осуществляющую техническое обслуживание «Комплекса».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3.5. В случае кражи в охраняемое время принять заявление от «ЗАКАЗЧИКА» и немедленно направить представителя для совместного проведения с представителем «ЗАКАЗЧИКА» снятия остатков товарно-материальных ценностей и денежных сумм, а также имущества «ЗАКАЗЧИКА» и проведения ревизии (инвентаризации), которые сопоставляются с данными бухгалтерского учета на день происшествия с составлением  двухстороннего акта. Совместно с представителями «ЗАКАЗЧИКА» и организации, осуществляющей техническое обслуживание технических средств охраны провести внеплановое обследование технических средств «</w:t>
      </w:r>
      <w:r>
        <w:rPr>
          <w:rFonts w:ascii="Times New Roman" w:hAnsi="Times New Roman"/>
          <w:b/>
          <w:sz w:val="24"/>
        </w:rPr>
        <w:t>охранной</w:t>
      </w:r>
      <w:r>
        <w:rPr>
          <w:rFonts w:ascii="Times New Roman" w:hAnsi="Times New Roman"/>
          <w:sz w:val="24"/>
        </w:rPr>
        <w:t>» сигнализации и инженерно-технической укрепленности с составлением трехстороннего акта обследования о состоянии и наличии технических средств «</w:t>
      </w:r>
      <w:r>
        <w:rPr>
          <w:rFonts w:ascii="Times New Roman" w:hAnsi="Times New Roman"/>
          <w:b/>
          <w:sz w:val="24"/>
        </w:rPr>
        <w:t>охранной</w:t>
      </w:r>
      <w:r>
        <w:rPr>
          <w:rFonts w:ascii="Times New Roman" w:hAnsi="Times New Roman"/>
          <w:sz w:val="24"/>
        </w:rPr>
        <w:t>» сигнализации, а также инженерно-технической укрепленности.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3.6. Принять участие в работе ревизионной комиссии совместно с представителем «ЗАКАЗЧИКА», произвести расчет стоимости похищенного или поврежденного/уничтоженного имущества, товарно-материальных ценностей «ЗАКАЗЧИКА» с учетом износа, затрат на ремонт поврежденного имущества с составлением заключения ревизионной комиссии расчета ущерба с приложением подтверждающих документов.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3.7. В случаях: отключения электроэнергии, нарушения каналов связи сигнализации с ПЦО, пожара, выхода из строя «Комплекса», а также при наступлении обстоятельств непреодолимой силы; когда «ИСПОЛНИТЕЛЬ» не может выполнить обязанности, принятые на себя по настоящему договору, «ИСПОЛНИТЕЛЬ» обязан передать «Объект» под охрану представителям «ЗАКАЗЧИКА». Далее «ЗАКАЗЧИК» осуществляет охрану «Объекта» собственными силами.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3.8. В случае изменения тарифов на предоставляемые услуги письменно уведомлять «ЗАКАЗЧИКА»  за   10   дней до введения новых тарифов.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3.9. Обеспечить сохранность и конфиденциальность служебной информации, а также неразглашение ее третьим лицам, кроме установленных законодательством случаев.</w:t>
      </w:r>
    </w:p>
    <w:p>
      <w:pPr>
        <w:pStyle w:val="Style34"/>
        <w:spacing w:lineRule="auto" w:line="240" w:before="0" w:after="0"/>
        <w:ind w:left="0" w:right="0" w:firstLine="540"/>
        <w:jc w:val="both"/>
        <w:rPr>
          <w:color w:val="000000"/>
          <w:sz w:val="24"/>
        </w:rPr>
      </w:pPr>
      <w:r>
        <w:rPr>
          <w:color w:val="000000"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0" w:firstLine="709"/>
        <w:jc w:val="center"/>
        <w:rPr/>
      </w:pPr>
      <w:r>
        <w:rPr>
          <w:rFonts w:ascii="Times New Roman" w:hAnsi="Times New Roman"/>
          <w:b/>
          <w:sz w:val="24"/>
        </w:rPr>
        <w:t>4. ОБЯЗАННОСТИ «ЗАКАЗЧИКА»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4.1. Осуществлять в установленные сроки, определенные договором и актами обследования, мероприятия по оборудованию «Объекта» средствами СПИ в соответствии с действующими нормативными документами, содействовать «ИСПОЛНИТЕЛЮ</w:t>
      </w:r>
      <w:r>
        <w:rPr>
          <w:rFonts w:ascii="Times New Roman" w:hAnsi="Times New Roman"/>
          <w:sz w:val="24"/>
          <w:shd w:fill="auto" w:val="clear"/>
        </w:rPr>
        <w:t>»</w:t>
      </w:r>
      <w:r>
        <w:rPr>
          <w:rFonts w:ascii="Times New Roman" w:hAnsi="Times New Roman"/>
          <w:sz w:val="24"/>
        </w:rPr>
        <w:t xml:space="preserve"> при выполнении им своих обязанностей.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4.2. Организовывать и обеспечивать представителям «ИСПОЛНИТЕЛЯ» возможность доступа на «Объект» в целях выполнения ими обязательств, взятых на себя в соответствии с настоящим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ом. При наличии на «Объекте» или на территории, являющейся собственностью «ЗАКАЗЧИКА» охранных собак обеспечить безопасность сотрудников «ИСПОЛНИТЕЛЯ» от их нападения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4.3. Сдавать «Объект» под охрану «ИСПОЛНИТЕЛЮ» и снимать его с охраны в определенное Сторонами время.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4.4. Периодически проводить проверку работоспособности «Комплекса», установленного на «Объекте» с обязательной проверкой подключения их к ПЦО.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4.5. В случае неисправности «Комплекса» немедленно уведомлять об этом «ИСПОЛНИТЕЛЯ» и организацию, осуществляющую техническое обслуживание «Комплекса». При невозможности подключения «Комплекса» на «Объекте» после его срабатывания, «ЗАКАЗЧИК» вызывает представителя организации, осуществляющей техническое обслуживание «Комплекса», для дальнейшего выяснения и устранения причин срабатывания.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pacing w:val="-1"/>
          <w:sz w:val="24"/>
        </w:rPr>
        <w:t>4.6.</w:t>
      </w:r>
      <w:r>
        <w:rPr>
          <w:rFonts w:ascii="Times New Roman" w:hAnsi="Times New Roman"/>
          <w:sz w:val="24"/>
        </w:rPr>
        <w:t xml:space="preserve"> Перед сдачей «Объекта» под охрану проверять, чтобы в помещении в нерабочее время не остались посторонние лица и включенные электрические и газовые приборы и другие источники огня.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4.7. Включать «Комплекс» по окончании рабочего дня на «Объекте», а в случае ее неисправности – немедленно уведомлять об этом «ИСПОЛНИТЕЛЯ» и организацию, осуществляющую техническое обслуживание «Комплекса» и не покидать «Объект» до устранения неисправностей и передачи «Объекта» под охрану на ПЦО в установленном порядке.</w:t>
      </w:r>
    </w:p>
    <w:p>
      <w:pPr>
        <w:pStyle w:val="Normal"/>
        <w:spacing w:lineRule="auto" w:line="240" w:before="0" w:after="0"/>
        <w:ind w:left="0" w:right="0" w:firstLine="539"/>
        <w:jc w:val="both"/>
        <w:rPr/>
      </w:pPr>
      <w:r>
        <w:rPr>
          <w:rFonts w:ascii="Times New Roman" w:hAnsi="Times New Roman"/>
          <w:sz w:val="24"/>
        </w:rPr>
        <w:t>4.8. При срабатывании «Комплекса» на «Объекте» в период времени</w:t>
      </w:r>
      <w:r>
        <w:rPr>
          <w:rFonts w:ascii="Times New Roman" w:hAnsi="Times New Roman"/>
          <w:color w:val="000000"/>
          <w:sz w:val="24"/>
        </w:rPr>
        <w:t>, указанного Приложении № 1</w:t>
      </w:r>
      <w:r>
        <w:rPr>
          <w:rFonts w:ascii="Times New Roman" w:hAnsi="Times New Roman"/>
          <w:sz w:val="24"/>
        </w:rPr>
        <w:t xml:space="preserve"> представитель «ЗАКАЗЧИКА» обязан выехать совместно с «ИСПОЛНИТЕЛЕМ» и представителем организации, осуществляющей техническое обслуживание «Комплекса», на «Объект» для его вскрытия и предоставить возможность «ИСПОЛНИТЕЛЮ» произвести осмотр всех внутренних помещений с целью выявления причин срабатывания «Комплекса».</w:t>
      </w:r>
    </w:p>
    <w:p>
      <w:pPr>
        <w:pStyle w:val="Normal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4.9. Своевременно сообщать о фактах нарушения целостности «Объекта» или причинении ущерба повреждением имущества в результате проникновения на «Объект» посторонних лиц «ИСПОЛНИТЕЛЮ», представителям организации осуществляющей обслуживание «Комплекса» и в дежурную часть ОВД и до прибытия представителей «ИСПОЛНИТЕЛЯ» и оперативно-следственной группы обеспечить неприкосновенность места происшествия. </w:t>
      </w:r>
    </w:p>
    <w:p>
      <w:pPr>
        <w:pStyle w:val="Normal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4.10. В случае факта кражи (повреждения, уничтожения) имущества в охраняемое время немедленно уведомить «ИСПОЛНИТЕЛЯ» посредством заявления в письменном виде и совместно с представителем «ИСПОЛНИТЕЛЯ» с целью определения размера вреда (ущерба) провести ревизию (инвентаризацию) - снятие остатков товарно-материальных ценностей и денежных сумм, а также имущества «ЗАКАЗЧИКА», которые сопоставляются с данными бухгалтерского учета на день происшествия с составлением двухстороннего акта. При последующем определении размера ущерба совместно с представителем «ИСПОЛНИТЕЛЯ» производится расчет стоимости похищенного или поврежденного/уничтоженного имущества, товарно-материальных ценностей «ЗАКАЗЧИКА» с учетом износа</w:t>
      </w:r>
      <w:r>
        <w:rPr>
          <w:rFonts w:ascii="Times New Roman" w:hAnsi="Times New Roman"/>
          <w:b/>
          <w:sz w:val="24"/>
        </w:rPr>
        <w:t xml:space="preserve">, </w:t>
      </w:r>
      <w:r>
        <w:rPr>
          <w:rFonts w:ascii="Times New Roman" w:hAnsi="Times New Roman"/>
          <w:sz w:val="24"/>
        </w:rPr>
        <w:t>затрат на ремонт поврежденного имущества с составлением двухстороннего акта и двухстороннего расчета ущерба с приложением подтверждающих документов. Не допускать проведения ревизии (инвентаризации) – снятия остатков товарно-материальных ценностей и определения размера ущерба, причиненного «ЗАКАЗЧИКУ» без участия представителей «ИСПОЛНИТЕЛЯ», без приложения подтверждающих документов, а также без проверки работоспособности сигнализации и оборудования работниками ПЦО «ИСПОЛНИТЕЛЯ».</w:t>
      </w:r>
    </w:p>
    <w:p>
      <w:pPr>
        <w:pStyle w:val="Normal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4.11. «ЗАКАЗЧИК» имеет право проводить самостоятельно снятие остатков товарно-материальных ценностей, определение размера ущерба, проведения инвентаризации без участия представителей «ИСПОЛНИТЕЛЯ» при наличии письменного отказа «ИСПОЛНИТЕЛЯ» от участия в проведении инвентаризации.</w:t>
      </w:r>
    </w:p>
    <w:p>
      <w:pPr>
        <w:pStyle w:val="Normal"/>
        <w:widowControl w:val="false"/>
        <w:spacing w:lineRule="auto" w:line="240" w:before="0" w:after="0"/>
        <w:ind w:left="0" w:right="24" w:firstLine="540"/>
        <w:jc w:val="both"/>
        <w:rPr/>
      </w:pPr>
      <w:r>
        <w:rPr>
          <w:rFonts w:ascii="Times New Roman" w:hAnsi="Times New Roman"/>
          <w:sz w:val="24"/>
        </w:rPr>
        <w:t>4.12. Предоставлять «ИСПОЛНИТЕЛЮ» и организации осуществляющей техническое обслуживание «Комплекса» не позднее, чем за 10 дней сведения о начале проведения мероприятий, направленных на ремонт помещений или переоборудование «Объекта», об изменении на них режима или профиля работы, сдачи в аренду помещений или площадей другим юридическим или физическим лицам.</w:t>
      </w:r>
    </w:p>
    <w:p>
      <w:pPr>
        <w:pStyle w:val="Normal"/>
        <w:widowControl w:val="false"/>
        <w:spacing w:lineRule="auto" w:line="240" w:before="0" w:after="0"/>
        <w:ind w:left="0" w:right="24" w:firstLine="540"/>
        <w:jc w:val="both"/>
        <w:rPr/>
      </w:pPr>
      <w:r>
        <w:rPr>
          <w:rFonts w:ascii="Times New Roman" w:hAnsi="Times New Roman"/>
          <w:sz w:val="24"/>
        </w:rPr>
        <w:t>4.13. Обеспечивать стабильное снабжение электроэнергией приборов «Комплекса», а также предоставлять «ИСПОЛНИТЕЛЮ» в соответствии с проектными решениями в исправном состоянии каналы связи (физические линии связи, линии электропередачи и т.п.) для передачи на ПЦО информации о состоянии СПИ, установленной на «Объекте». Вводы на «Объект», телефонных линий и линий электропитания, к которым подключен «Комплекс», должны быть выполнены способом, исключающим возможность доступа к ним посторонних лиц, с учетом требований Министерства энергетики РФ.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4.14. Принимать меры к своевременному ремонту телефонной связи и сети электропитания.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4.15. В случае подключения «Комплекса» по GSM-каналу и предоставление в пользование «ИСПОЛНИТЕЛЯ» канала связи «ЗАКАЗЧИК» обязан обеспечивать положительный баланс на Sim-карте.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4.16. Письменно уведомлять «ИСПОЛНИТЕЛЯ» о лицах, допущенных или отстраненных от сдачи и принятии «Объекта» под охрану. Не допускать к пользованию «Комплексом» лиц, не прошедших инструктаж о порядке их использования, а также не заявленных в установленном порядке «ИСПОЛНИТЕЛЮ».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4.17. Материально-ответственные лица «ЗАКАЗЧИКА», сдавшие «Объект» под охрану обязаны находиться по адресу, указанному в документации предоставленной «ИСПОЛНИТЕЛЮ». В случаях если материально-ответственное лицо находиться по другому адресу, оно обязано поставить об этом в известность дежурного ПЦО. В случаях срабатывания «Комплекса» и других чрезвычайных происшествиях на «Объекте» материально-ответственное лицо «ЗАКАЗЧИКА» вызывается в любое время суток.</w:t>
      </w:r>
    </w:p>
    <w:p>
      <w:pPr>
        <w:pStyle w:val="Normal"/>
        <w:widowControl w:val="false"/>
        <w:tabs>
          <w:tab w:val="clear" w:pos="708"/>
          <w:tab w:val="left" w:pos="1920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4.18. Не разглашать посторонним лицам правила пользования «Комплексом», присвоенный условный номер «Объекта», коды, параметры и т.п.</w:t>
      </w:r>
    </w:p>
    <w:p>
      <w:pPr>
        <w:pStyle w:val="Normal"/>
        <w:widowControl w:val="false"/>
        <w:tabs>
          <w:tab w:val="clear" w:pos="708"/>
          <w:tab w:val="left" w:pos="1613" w:leader="none"/>
        </w:tabs>
        <w:spacing w:lineRule="auto" w:line="240" w:before="0" w:after="0"/>
        <w:ind w:left="0" w:right="10" w:firstLine="540"/>
        <w:jc w:val="both"/>
        <w:rPr/>
      </w:pPr>
      <w:r>
        <w:rPr>
          <w:rFonts w:ascii="Times New Roman" w:hAnsi="Times New Roman"/>
          <w:sz w:val="24"/>
        </w:rPr>
        <w:t xml:space="preserve">4.19. Не допускать к обслуживанию «Комплекса» и устранению неисправностей, </w:t>
      </w:r>
      <w:r>
        <w:rPr>
          <w:rFonts w:ascii="Times New Roman" w:hAnsi="Times New Roman"/>
          <w:color w:val="000000"/>
          <w:sz w:val="24"/>
        </w:rPr>
        <w:t xml:space="preserve">внесению изменений в схему блокировки «Объекта» </w:t>
      </w:r>
      <w:r>
        <w:rPr>
          <w:rFonts w:ascii="Times New Roman" w:hAnsi="Times New Roman"/>
          <w:sz w:val="24"/>
        </w:rPr>
        <w:t xml:space="preserve">сторонних лиц и </w:t>
      </w:r>
      <w:r>
        <w:rPr>
          <w:rFonts w:ascii="Times New Roman" w:hAnsi="Times New Roman"/>
          <w:color w:val="000000"/>
          <w:spacing w:val="-1"/>
          <w:sz w:val="24"/>
        </w:rPr>
        <w:t>не производить указанные работы своими силами.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4.20. Проводить ремонт «Комплекса» в сроки, предписанные актом технического обследования. Проводить капитальный ремонт «Комплекса» в сроки, согласованные с «ИСПОЛНИТЕЛЕМ», но не реже одного раза в 8 лет (при невозможности дальнейшей эксплуатации - в сроки установленные заводами – изготовителями).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4.21. Совместно с «ИСПОЛНИТЕЛЕМ» и организацией осуществляющей техническое обслуживание «Комплекса» проводить мероприятия по внедрению новых СПИ.</w:t>
      </w:r>
    </w:p>
    <w:p>
      <w:pPr>
        <w:pStyle w:val="Normal"/>
        <w:widowControl w:val="false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4.22. Ставить в известность «ИСПОЛНИТЕЛЯ» обо всех недостатках и нарушениях службы личным составом «ИСПОЛНИТЕЛЯ» для принятия необходимых мер.</w:t>
      </w:r>
    </w:p>
    <w:p>
      <w:pPr>
        <w:pStyle w:val="Normal"/>
        <w:widowControl w:val="false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4.23. Своевременно производить оплату за оказанные услуги в соответствии с п 8.1. настоящего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а. При отказе от услуг охраны письменно предупредить об этом «ИСПОЛНИТЕЛЯ» за 10 дней и погасить задолженность по оплате за услуги по настоящему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у.</w:t>
      </w:r>
    </w:p>
    <w:p>
      <w:pPr>
        <w:pStyle w:val="Normal"/>
        <w:widowControl w:val="false"/>
        <w:tabs>
          <w:tab w:val="clear" w:pos="708"/>
          <w:tab w:val="left" w:pos="804" w:leader="none"/>
          <w:tab w:val="left" w:pos="1107" w:leader="none"/>
        </w:tabs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4.24. В случае изменения тарифов на оказание услуг по обеспечению оперативного реагирования подписать дополнительное соглашение с учетом измененных тарифов, либо письменно, с указанием причин, уведомить «ИСПОЛНИТЕЛЯ» об отказе от услуг в течение 10 дней, с момента получения уведомления об изменении.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4.25. При приостановлении действия договора охраны «Объекта», «ЗАКАЗЧИК» для сохранения подключения «Комплекса» к СПИ через абонентские линии городской телефонной сети, обязуется компенсировать «ИСПОЛНИТЕЛЮ» затраты за услуги оператора связи по действующим тарифам.</w:t>
      </w:r>
    </w:p>
    <w:p>
      <w:pPr>
        <w:pStyle w:val="Style34"/>
        <w:tabs>
          <w:tab w:val="clear" w:pos="708"/>
          <w:tab w:val="left" w:pos="804" w:leader="none"/>
          <w:tab w:val="left" w:pos="1107" w:leader="none"/>
        </w:tabs>
        <w:ind w:left="10" w:right="0" w:firstLine="540"/>
        <w:jc w:val="both"/>
        <w:rPr/>
      </w:pPr>
      <w:r>
        <w:rPr>
          <w:sz w:val="24"/>
        </w:rPr>
        <w:t>4.26. Документы, предусмотренные в п.8.3 Договора «ЗАКАЗЧИК» получает по адресу: _______________,_______________________________________________________.</w:t>
      </w:r>
    </w:p>
    <w:p>
      <w:pPr>
        <w:pStyle w:val="Style34"/>
        <w:tabs>
          <w:tab w:val="clear" w:pos="708"/>
          <w:tab w:val="left" w:pos="804" w:leader="none"/>
          <w:tab w:val="left" w:pos="1107" w:leader="none"/>
        </w:tabs>
        <w:ind w:left="10" w:right="0" w:firstLine="540"/>
        <w:jc w:val="both"/>
        <w:rPr/>
      </w:pPr>
      <w:r>
        <w:rPr>
          <w:sz w:val="24"/>
        </w:rPr>
        <w:t xml:space="preserve">При уклонении «ЗАКАЗЧИКА» от получения или подписания акта выполненных работ (далее - Акт) в установленный настоящим Договором срок «ИСПОЛНИТЕЛЬ» направляет Акт заказным письмом с уведомлением о вручении. В таком случае Акт считается подписанным </w:t>
      </w:r>
      <w:r>
        <w:rPr>
          <w:color w:val="000000"/>
          <w:sz w:val="24"/>
        </w:rPr>
        <w:t>«ЗАКАЗЧИКОМ»</w:t>
      </w:r>
      <w:r>
        <w:rPr>
          <w:sz w:val="24"/>
        </w:rPr>
        <w:t xml:space="preserve">, а услуги - оказанными «ИСПОЛНИТЕЛЕМ» надлежащим образом на 7 день с момента получения акта выполненных работ </w:t>
      </w:r>
      <w:r>
        <w:rPr>
          <w:color w:val="000000"/>
          <w:sz w:val="24"/>
        </w:rPr>
        <w:t xml:space="preserve">«ЗАКАЗЧИКОМ».      </w:t>
        <w:tab/>
        <w:t>Акта  считается доставленным, если он: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поступил адресату, но по обстоятельствам, зависящим от него, не был вручен или адресат не ознакомился с ними;</w:t>
      </w:r>
    </w:p>
    <w:p>
      <w:pPr>
        <w:pStyle w:val="Style34"/>
        <w:tabs>
          <w:tab w:val="clear" w:pos="708"/>
          <w:tab w:val="left" w:pos="804" w:leader="none"/>
          <w:tab w:val="left" w:pos="1107" w:leader="none"/>
        </w:tabs>
        <w:ind w:left="10" w:right="0" w:firstLine="540"/>
        <w:jc w:val="both"/>
        <w:rPr/>
      </w:pPr>
      <w:r>
        <w:rPr>
          <w:color w:val="000000"/>
          <w:sz w:val="24"/>
        </w:rPr>
        <w:t>- доставлен по адресу, указанному в ЕГРЮЛ или названному самим адресатом, даже если он не находится по такому адресу.</w:t>
      </w:r>
    </w:p>
    <w:p>
      <w:pPr>
        <w:pStyle w:val="Normal"/>
        <w:widowControl w:val="false"/>
        <w:tabs>
          <w:tab w:val="clear" w:pos="708"/>
          <w:tab w:val="left" w:pos="1670" w:leader="none"/>
        </w:tabs>
        <w:spacing w:lineRule="auto" w:line="240" w:before="0" w:after="0"/>
        <w:ind w:left="0" w:right="-51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4.27. Предоставлять «ИСПОЛНИТЕЛЮ» учредительные документы, реквизиты и иную необходимую информацию для оформления Договора. В течение срока действия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а «ЗАКАЗЧИК» несет персональную ответственность за объективность и своевременное предоставление сведений о произошедших изменениях, и обязуется в письменной форме сообщать о них «ИСПОЛНИТЕЛЮ».</w:t>
      </w:r>
    </w:p>
    <w:p>
      <w:pPr>
        <w:pStyle w:val="Normal"/>
        <w:widowControl w:val="false"/>
        <w:tabs>
          <w:tab w:val="clear" w:pos="708"/>
          <w:tab w:val="left" w:pos="1574" w:leader="none"/>
          <w:tab w:val="left" w:pos="1656" w:leader="underscore"/>
        </w:tabs>
        <w:spacing w:lineRule="auto" w:line="240" w:before="0" w:after="0"/>
        <w:ind w:left="0" w:right="5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4.28. В трехдневный срок информировать «ИСПОЛНИТЕЛЯ» </w:t>
      </w:r>
      <w:r>
        <w:rPr>
          <w:rFonts w:ascii="Times New Roman" w:hAnsi="Times New Roman"/>
          <w:color w:val="000000"/>
          <w:spacing w:val="-1"/>
          <w:sz w:val="24"/>
        </w:rPr>
        <w:t xml:space="preserve">о возникновении спора о праве собственности и управления имуществом, </w:t>
      </w:r>
      <w:r>
        <w:rPr>
          <w:rFonts w:ascii="Times New Roman" w:hAnsi="Times New Roman"/>
          <w:color w:val="000000"/>
          <w:sz w:val="24"/>
        </w:rPr>
        <w:t>находящимся во владении «ЗАКАЗЧИКА» и являющимся объектом оперативного реагирования.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4.29. Обеспечить сохранность и конфиденциальность служебной информации, а также неразглашение ее третьим лицам, кроме установленных законодательством случаев.</w:t>
      </w:r>
    </w:p>
    <w:p>
      <w:pPr>
        <w:pStyle w:val="Normal"/>
        <w:widowControl w:val="false"/>
        <w:tabs>
          <w:tab w:val="clear" w:pos="708"/>
          <w:tab w:val="left" w:pos="2150" w:leader="none"/>
          <w:tab w:val="left" w:pos="8357" w:leader="underscor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4.30. Ставить в известность «ИСПОЛНИТЕЛЯ» о заключенных договорах страхования охраняемого имущества.</w:t>
      </w:r>
    </w:p>
    <w:p>
      <w:pPr>
        <w:pStyle w:val="Normal"/>
        <w:widowControl w:val="false"/>
        <w:tabs>
          <w:tab w:val="clear" w:pos="708"/>
          <w:tab w:val="left" w:pos="2150" w:leader="none"/>
          <w:tab w:val="left" w:pos="8357" w:leader="underscore"/>
        </w:tabs>
        <w:spacing w:lineRule="auto" w:line="240" w:before="0" w:after="0"/>
        <w:ind w:left="0" w:right="1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0" w:firstLine="709"/>
        <w:jc w:val="center"/>
        <w:rPr/>
      </w:pPr>
      <w:r>
        <w:rPr>
          <w:rFonts w:ascii="Times New Roman" w:hAnsi="Times New Roman"/>
          <w:b/>
          <w:sz w:val="24"/>
        </w:rPr>
        <w:t>5. ОТВЕТСТВЕННОСТЬ «ИСПОЛНИТЕЛЯ»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5.1. За неисполнение или ненадлежащее исполнение своих обязательств по настоящему договору «ИСПОЛНИТЕЛЬ» несет ответственность в соответствии с законодательством Российской Федерации.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5.2. «ИСПОЛНИТЕЛЬ» несёт ответственность за ущерб причинённый кражами имущества и материальных ценностей, совершёнными посредством проникновения на охраняемый «Объект» через заблокированные участки в охраняемое время при включенной «</w:t>
      </w:r>
      <w:r>
        <w:rPr>
          <w:rFonts w:ascii="Times New Roman" w:hAnsi="Times New Roman"/>
          <w:b/>
          <w:sz w:val="24"/>
        </w:rPr>
        <w:t>охранной</w:t>
      </w:r>
      <w:r>
        <w:rPr>
          <w:rFonts w:ascii="Times New Roman" w:hAnsi="Times New Roman"/>
          <w:sz w:val="24"/>
        </w:rPr>
        <w:t xml:space="preserve">» сигнализации в результате виновного не исполнения или виновного не надлежащего исполнения </w:t>
      </w:r>
      <w:r>
        <w:rPr>
          <w:rFonts w:ascii="Times New Roman" w:hAnsi="Times New Roman"/>
          <w:spacing w:val="-1"/>
          <w:sz w:val="24"/>
        </w:rPr>
        <w:t>своих обязательств в размере прямого действительного ущерба.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5.3. Возмещение «ЗАКАЗЧИКУ» причиненного ущерба производится на основании вступившего в законную силу решения суда, установившего факт кражи, уничтожения или повреждения имущества посторонними лицами, проникшими на объект в охраняемое время.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5.4. Возврат «ЗАКАЗЧИКУ» похищенных ценностей, изъятых следственными органами у лиц, совершивших кражу, производится этими органами или судом в установленном законом порядке. При этом «ИСПОЛНИТЕЛЬ» не принимает на ответственное хранение от указанных органов имущество, подлежащее возврату «ЗАКАЗЧИКУ».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5.5. «ИСПОЛНИТЕЛЬ» не несёт материальной ответственности за ущерб: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п</w:t>
      </w:r>
      <w:r>
        <w:rPr>
          <w:rFonts w:ascii="Times New Roman" w:hAnsi="Times New Roman"/>
          <w:color w:val="000000"/>
          <w:sz w:val="24"/>
        </w:rPr>
        <w:t xml:space="preserve">ри невыполнении «ЗАКАЗЧИКОМ» обязательств по настоящему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у, если действия (бездействие) «ЗАКАЗЧИКА» повлекли за собой кражу, повреждение или уничтожение имущества;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«ИСПОЛНИТЕЛЕМ» в полной мере были исполнены все обязанности, предусмотренные договором, но кража произошла в такие временные сроки, за которые прибытие наряда вневедомственной охраны и задержание преступников было невозможно;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- к</w:t>
      </w:r>
      <w:r>
        <w:rPr>
          <w:rFonts w:ascii="Times New Roman" w:hAnsi="Times New Roman"/>
          <w:sz w:val="24"/>
        </w:rPr>
        <w:t xml:space="preserve">ража произошла с «Объекта», не сданного под централизованное наблюдение, включая случаи, когда информация о постановке «Объекта» на охрану не была передана на ПЦО по независящим от </w:t>
      </w:r>
      <w:r>
        <w:rPr>
          <w:rFonts w:ascii="Times New Roman" w:hAnsi="Times New Roman"/>
          <w:color w:val="000000"/>
          <w:sz w:val="24"/>
        </w:rPr>
        <w:t xml:space="preserve">«ИСПОЛНИТЕЛЯ» </w:t>
      </w:r>
      <w:r>
        <w:rPr>
          <w:rFonts w:ascii="Times New Roman" w:hAnsi="Times New Roman"/>
          <w:sz w:val="24"/>
        </w:rPr>
        <w:t>причинам;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 кража произошла в период, когда централизованное наблюдение за «Объектом» не могло осуществляться по техническим причинам, не зависящим от «ИСПОЛНИТЕЛЯ» (отсутствие на объекте электропитания, неисправность канала передачи тревожного извещения, другие аналогичные технические причины);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в случае не срабатывания или неисправности СПИ, установленной на «Объекте»;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лица, проникшие на «Объект», задержаны сотрудниками «ИСПОЛНИТЕЛЯ»;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ущерб, причиненный посторонними лицами, если «Объект» не был передан «ЗАКАЗЧИКОМ» под охрану, отсутствия на «Объекте» электроэнергии, неисправности каналов связи средств сигнализации с ПЦО или самих СПИ, а также в случае нарушения технической укрепленности «Объекта», порядка пользования «Комплексом» или порядка сдачи «Объекта» под охрану;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в случае невыполнения «ЗАКАЗЧИКОМ» требований по технической укрепленности «Объекта», по оборудованию или ремонту «Комплекса», а также за нарушение указанного в Договоре, актах обследования или действующих нормативных актов, в том числе МВД России, порядка хранения товарно-материальных ценностей, оружия или другого имущества в охраняемое время, если нарушение этих требований явилось причиной причинения ущерба;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кражу денежных средств оставленных в помещении сверх сумм и лимитов и иных товарно-материальных ценностей которые «ЗАКАЗЧИК» вправе был оставить на «Объекте», а также в случаях, когда денежные средства и иные товарно-материальные ценности хранились не в сейфе или металлическом шкафу (ящике), прикрепленных к полу или стене;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имущество «ЗАКАЗЧИКА», поврежденное или уничтоженное при проникновении или попытке проникновения на него посторонних лиц, а также в случае причинения ущерба конструкциям и деталям, расположенным по внешнему периметру объекта (замки, двери, окна, оконные, дверные и витринные стекла и т.п.);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оставленное в помещении личное имущество работников «ЗАКАЗЧИКА» и не принадлежащее ему имущество;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имущество «ЗАКАЗЧИКА», если тот в течение 30 минут после обнаружения нарушения целостности «Объекта» или повреждения имущества в результате проникновения на «Объект» посторонних лиц не сообщил об этом «ИСПОЛНИТЕЛЮ»;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ущерб, причиненный арендатору или другому пользователю помещения, если непосредственно с ним не заключен договор на охрану;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за ущерб, причиненный «ЗАКАЗЧИКУ» в период времени, согласно Приложению № 1, иным способом, не связанным с проникновением сторонних лиц на «Объект» (пожар, затопление и т.п.);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если представитель «ЗАКАЗЧИКА» не выехал совместно с «ИСПОЛНИТЕЛЕМ» на «Объект» в случае срабатывания «Комплекса», при условии, что это способствовало причинению ущерба;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в случае причинения ущерба в период времени, не указанный в договоре охраны;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кража совершена «ЗАКАЗЧИКОМ» или лицами заявленными как ответственные за сигнализацию, а также с их ведома;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краже с «Объекта» способствовало произведенное «ЗАКАЗЧИКОМ» уменьшение зон действия извещателей (создание «мертвых зон») путем изменения обстановки помещения (перепланировка и т.п.) по отношению к существовавшей на момент оборудования объекта «Комплексом»;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5.6. «ИСПОЛНИТЕЛЬ» не несет ответственность за несвоевременную или некорректную доставку тревожных сообщений, связанную с загруженностью сотовой сети, сбоями работы серверов сотовых операторов сотовой связи и другими причинами, влияющими на устойчивую работу GSM-канала связи.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«ИСПОЛНИТЕЛЬ» </w:t>
      </w:r>
      <w:r>
        <w:rPr>
          <w:rFonts w:ascii="Times New Roman" w:hAnsi="Times New Roman"/>
          <w:color w:val="000000"/>
          <w:sz w:val="24"/>
        </w:rPr>
        <w:t xml:space="preserve">освобождается от ответственности так же и в других случаях не указанных в настоящем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е если докажет отсутствие своей вины.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5.7. В случае просрочки исполнения «ИСПОЛНИТЕЛЕМ» обязательств, предусмотренных договором, а также в иных случаях неисполнения или ненадлежащего исполнения «ИСПОЛНИТЕЛЕМ» обязательств, предусмотренных договором, «ЗАКАЗЧИК» направляет «ИСПОЛНИТЕЛЮ» требование об уплате неустоек (штрафов, пеней).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5.8. Пеня начисляется за каждый день просрочки исполнения «ИСПОЛНИТЕЛЕМ» обязательства, предусмотренного договором, начиная со дня, следующего после дня истечения установленного договором срока исполнения обязательства, и устанавливается договором в размере одной трехсотой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«ИСПОЛНИТЕЛЕМ», за исключением случаев, если законодательством Российской Федерации установлен иной порядок начисления пени.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pacing w:val="2"/>
          <w:sz w:val="24"/>
        </w:rPr>
        <w:t xml:space="preserve">5.9. Общая сумма начисленной неустойки (штрафов, пени) за неисполнение или ненадлежащее исполнение </w:t>
      </w:r>
      <w:r>
        <w:rPr>
          <w:rFonts w:ascii="Times New Roman" w:hAnsi="Times New Roman"/>
          <w:sz w:val="24"/>
        </w:rPr>
        <w:t xml:space="preserve">«ИСПОЛНИТЕЛЕМ» </w:t>
      </w:r>
      <w:r>
        <w:rPr>
          <w:rFonts w:ascii="Times New Roman" w:hAnsi="Times New Roman"/>
          <w:spacing w:val="2"/>
          <w:sz w:val="24"/>
        </w:rPr>
        <w:t xml:space="preserve">обязательств, предусмотренных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spacing w:val="2"/>
          <w:sz w:val="24"/>
        </w:rPr>
        <w:t xml:space="preserve">ом, не может превышать цену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spacing w:val="2"/>
          <w:sz w:val="24"/>
        </w:rPr>
        <w:t>а.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pacing w:val="2"/>
          <w:sz w:val="24"/>
        </w:rPr>
        <w:t xml:space="preserve">5.10. 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spacing w:val="2"/>
          <w:sz w:val="24"/>
        </w:rPr>
        <w:t>ом, произошло вследствие непреодолимой силы или по вине другой Стороны.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5.11. Уплата неустоек (штрафов, пеней) и возмещение убытков, причиненных ненадлежащим исполнением обязательств, не освобождает от исполнения обязательств по договору в полном объеме.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5.12. Окончание срока действия договора не освобождает «ИСПОЛНИТЕЛЯ» от ответственности за нарушение его условий в период его действия.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>
          <w:rFonts w:ascii="Times New Roman" w:hAnsi="Times New Roman"/>
          <w:b/>
          <w:color w:val="000000"/>
          <w:spacing w:val="-3"/>
          <w:sz w:val="24"/>
        </w:rPr>
      </w:pPr>
      <w:r>
        <w:rPr>
          <w:rFonts w:ascii="Times New Roman" w:hAnsi="Times New Roman"/>
          <w:b/>
          <w:color w:val="000000"/>
          <w:spacing w:val="-3"/>
          <w:sz w:val="24"/>
        </w:rPr>
      </w:r>
    </w:p>
    <w:p>
      <w:pPr>
        <w:pStyle w:val="Style38"/>
        <w:ind w:left="0" w:right="0" w:firstLine="708"/>
        <w:jc w:val="center"/>
        <w:rPr/>
      </w:pPr>
      <w:r>
        <w:rPr>
          <w:rFonts w:ascii="Times New Roman" w:hAnsi="Times New Roman"/>
          <w:b/>
          <w:sz w:val="24"/>
        </w:rPr>
        <w:t>6. ОТВЕТСТВЕННОСТЬ «ЗАКАЗЧИКА»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6.1. За неисполнение или ненадлежащее исполнение своих обязательств по настоящему договору «ЗАКАЗЧИК» несет ответственность в соответствии с законодательством Российской Федерации.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6.2. В случае просрочки исполнения «ЗАКАЗЧИКОМ» обязательств, предусмотренных договором, а также в иных случаях неисполнения или ненадлежащего исполнения «ЗАКАЗЧИКОМ» обязательств, предусмотренных Договором, «ИСПОЛНИТЕЛЬ» вправе потребовать уплаты неустоек (штрафов, пеней).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6.3. Пеня начисляется за каждый день просрочки исполнения обязательства Заказчиком,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одной трехсотой действующей на дату уплаты пеней ключевой ставки Центрального банка Российской Федерации от не уплаченной в срок суммы.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6.4. «ЗАКАЗЧИК» освобождается от уплаты неустойки (штрафа, пеней), если докажет, что просрочка исполнения соответствующего обязательства произошла вследствие непреодолимой силы или по вине другой Стороны.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6.5. Уплата неустоек (штрафов, пеней) и возмещение убытков, причиненных ненадлежащим исполнением обязательств, не освобождает от исполнения обязательств по Договору в полном объеме.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6.6. Окончание срока действия договора не освобождает «ЗАКАЗЧИКА» от ответственности за нарушение его условий в период его действия.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6.7. «ЗАКАЗЧИК» оплачивает штраф за необоснованный выезд наряда вневедомственной охраны на «Объект» в размере, установленном прейскурантом тарифов на охрану объектов: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несоблюдения «ЗАКАЗЧИКОМ» требований Инструкции о порядке пользования СПИ (несвоевременное отключение средств сигнализации при входе на «Объект», выходе с «Объекта» после сдачи на охрану «ЗАКАЗЧИКОМ» и приема на охрану «ИСПОЛНИТЕЛЕМ» (выход через «тревогу»), сдача «Объекта» с неисправным «Комплексом», неправильное его включение, нахождение на «Объекте» с включенной сигнализацией, оставление на «Объекте» животных в подключенной к сигнализации зоне и т.п.);</w:t>
      </w:r>
    </w:p>
    <w:p>
      <w:pPr>
        <w:pStyle w:val="Normal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плохой технической укрепленности «Объекта» (неисправные дверные и оконные замки, петли, засовы, косяки, рамы и т.п., а также вызванное этим произвольное, в результате сквозняков, посторонних сотрясений и т.п. движение дверных и оконных створок; незапертые окна, двери и т.п.)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6.8. «ЗАКАЗЧИК» несет ответственность за физический и материальный ущерб, нанесенный сотрудникам «ИСПОЛНИТЕЛЯ» животными, находящимися на «Объекте» или прилегающей территории, принадлежащей «ЗАКАЗЧИКУ».</w:t>
      </w:r>
    </w:p>
    <w:p>
      <w:pPr>
        <w:pStyle w:val="Normal"/>
        <w:widowControl w:val="false"/>
        <w:spacing w:lineRule="auto" w:line="240" w:before="0" w:after="0"/>
        <w:ind w:left="10" w:right="0" w:firstLine="1"/>
        <w:jc w:val="center"/>
        <w:rPr>
          <w:rFonts w:ascii="Times New Roman" w:hAnsi="Times New Roman"/>
          <w:b/>
          <w:color w:val="000000"/>
          <w:spacing w:val="2"/>
          <w:sz w:val="24"/>
        </w:rPr>
      </w:pPr>
      <w:r>
        <w:rPr>
          <w:rFonts w:ascii="Times New Roman" w:hAnsi="Times New Roman"/>
          <w:b/>
          <w:color w:val="000000"/>
          <w:spacing w:val="2"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0" w:firstLine="709"/>
        <w:jc w:val="center"/>
        <w:rPr/>
      </w:pPr>
      <w:r>
        <w:rPr>
          <w:rFonts w:ascii="Times New Roman" w:hAnsi="Times New Roman"/>
          <w:b/>
          <w:sz w:val="24"/>
        </w:rPr>
        <w:t>7. ПРАВА СТОРОН И ДОПОЛНИТЕЛЬНЫЕ УСЛОВИЯ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7.1. «ИСПОЛНИТЕЛЬ» имеет право самостоятельно определять тип устанавливаемой СПИ, а также возможность переключения «Объекта» на новый номер при изменении телефона «ЗАКАЗЧИКА».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7.2. «ИСПОЛНИТЕЛЬ» имеет право рекомендовать «ЗАКАЗЧИКУ» изменение типа СПИ, установленной на «Объекте», в силу технической необходимости – истечения срока службы установленного ранее СПИ, перехода «ИСПОЛНИТЕЛЯ» в процессе технического перевооружения на новые СПИ и т.п.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7.3. Капитальный ремонт средств сигнализации, а также дополнительная блокировка вновь выявленных уязвимых мест на охраняемом «Объекте» производится «ЗАКАЗЧИКОМ» на основании предписаний «ИСПОЛНИТЕЛЯ». Переоборудование производиться за счет «ЗАКАЗЧИКА».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7.4. Приемно-контрольные приборы и оконечные устройства, являющихся собственностью «ИСПОЛНИТЕЛЯ» и дополнительно устанавливаемые в случае необходимости на «Объекте», передаются «ЗАКАЗЧИКУ» во временное пользование на основании выдачи сохранной расписки на установленные приборы.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7.5. «ИСПОЛНИТЕЛЬ» вправе временно приостановить предоставление услуг по настоящему договору, уведомив об этом «ЗАКАЗЧИКА» в срок не менее чем за 3 дня, в случае возникновения спора о праве собственности и управления имуществом, находящимся во владении «ЗАКАЗЧИКА» и являющимся объектом охраны, до момента разрешения спора в предусмотренном законом порядке.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7.6. «ИСПОЛНИТЕЛЬ» вправе отказаться от принятия под охрану дополнительных «Объектов», а также от введения иных видов услуг при отсутствии технических возможностей.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7.7. Перечень «Объектов», а также время их нахождения под охраной могут быть изменены в течение срока действия договора по согласованию «СТОРОН», с внесением соответствующих изменений в настоящий договор.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7.8. «ЗАКАЗЧИК» в обязательном порядке осуществляет оборудование распределительного щита надежным запорным устройством с размещением информации для коммунальных служб о месте хранения ключа. После окончания работ, проводимых коммунальными службами в распределительном щите, в обязательном порядке проводить проверку работоспособности СПИ на «Объекте».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7.9. При приостановлении действия договора охраны Объекта «ЗАКАЗЧИК» имеет право оказаться от сохранения подключения технических средств охраны к системе передачи извещений через абонентские линии городской телефонной сети, и соответственно, от оплаты за сохранение линии, по согласованию с «ИСПОЛНИТЕЛЕМ» в заявительном порядке в письменном виде.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7.10. Право подписи актов обследования технического состояния «Объекта» от имени «ЗАКАЗЧИКА» предоставляется лицу, подписывающего договор на охрану объекта, или уполномоченному лицу «ЗАКАЗЧИКА» на основании доверенности.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7.11. Снятие остатков товарно-материальных ценностей, остатков денежных средств, хранящихся в кассе  на «Объекте», подписание акта поврежденного имущества происходит в присутствии руководителя или заместителя структурного подразделения «ИСПОЛНИТЕЛЯ». При проведении «ЗАКАЗЧИКОМ» совместной ревизии с целью установления суммы причиненного ущерба, со стороны «ИСПОЛНИТЕЛЯ» в обязательном порядке принимает участие представитель финансового подразделения. 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7.12. «ЗАКАЗЧИК» имеет право сдавать «Объект» под охрану в период времени, указанный в Приложении № 1 к настоящему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у. Время нахождения «Объекта» под охраной может быть изменено в течение срока действия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а по согласованию Сторон, с внесением соответствующих изменений в настоящий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7.13. «ЗАКАЗЧИК» имеет право назначать своих официальных представителей (ответственных лиц) за пользование средствами сигнализации и исполнения обязанностей по настоящему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у.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7.14. Право подписи актов обследования технического состояния «Объекта» от имени «ЗАКАЗЧИКА» предоставляется: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руководителю «ЗАКАЗЧИКА»;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его заместителям;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- директорам и заведующим структурных подразделений «ЗАКАЗЧИКА».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лицам по доверенности.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7.15. Заявления, уведомления, извещения, требования  и иные юридически значимые сообщения (далее - сообщения) направляются Сторонами любым из следующих способов: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заказным письмом с уведомлением о вручении;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с нарочным (курьерской доставкой). В этом случае факт получения документа должен подтверждаться распиской, которая содержит наименование документа и дату его получения, а также фамилию, инициалы, должность и подпись лица, получившего данный документ;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по факсимильной связи, по электронной почте или иным способом связи при условии, что он позволяет достоверно установить, от кого исходило сообщение и кому оно адресовано.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Случаи, в которых установлен конкретный способ направления сообщений, определены договором.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7.16. Сообщения влекут гражданско-правовые последствия для Стороны, которой они направлены (далее - адресат), с момента доставки данных сообщений ей или ее представителю. Такие последствия возникают и в том случае, когда сообщение не было вручено адресату по зависящим от него обстоятельствам 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7.17. Сообщения считаются доставленными, если они: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поступили адресату, но по обстоятельствам, зависящим от него, не были вручены или адресат не ознакомился с ними;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- доставлены по адресу, указанному в ЕГРЮЛ или названному самим адресатом, даже если он не находится по такому адресу.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4"/>
          <w:highlight w:val="yellow"/>
        </w:rPr>
      </w:pPr>
      <w:r>
        <w:rPr>
          <w:rFonts w:ascii="Times New Roman" w:hAnsi="Times New Roman"/>
          <w:sz w:val="24"/>
          <w:highlight w:val="yellow"/>
        </w:rPr>
      </w:r>
    </w:p>
    <w:p>
      <w:pPr>
        <w:pStyle w:val="Normal"/>
        <w:widowControl w:val="false"/>
        <w:spacing w:lineRule="auto" w:line="240" w:before="0" w:after="0"/>
        <w:ind w:left="0" w:right="0" w:firstLine="709"/>
        <w:jc w:val="center"/>
        <w:rPr/>
      </w:pPr>
      <w:r>
        <w:rPr>
          <w:rFonts w:ascii="Times New Roman" w:hAnsi="Times New Roman"/>
          <w:b/>
          <w:sz w:val="24"/>
        </w:rPr>
        <w:t>8. ЦЕНА ДОГОВОРА И ПОРЯДОК РАСЧЕТОВ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8.1. Цена договора определяется в зависимости от количества «Объектов», а также времени охраны, указывается в перечне объектов, передаваемых под охрану и составляет _____________________________ руб. _____ коп. ( __________________ руб. ________коп.)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8.2. Стоимость услуг «ИСПОЛНИТЕЛЯ» в соответствии со ст. 146 Налогового кодекса Российской Федерации не облагается НДС.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8.3. Оплата услуг производится Заказчиком по факту оказания услуг, ежемесячно не позднее 15-го числа месяца, в котором услуга считается оказанной, на основании выставленного счёта и акта выполненных работ. Фактом оплаты признается поступление денежных средств на расчетный счет «ИСПОЛНИТЕЛЯ», открытый в порядке установленном законодательством Российской Федерации.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8.4. Платежи за дополнительные услуги, оказываемые в ходе исполнения обязательств по настоящему договору, не включены в абонентскую плату. Оплата данного вида услуг производится «ЗАКАЗЧИКОМ» на основании акта выполненных работ, подписанного Сторонами в течение 5-ти банковских дней с момента получения от «ИСПОЛНИТЕЛЯ»  в размере, согласно действующим тарифам.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8.5. В случае приостановления Сторонами действия настоящего договора, «ЗАКАЗЧИКОМ» оплачивается ежемесячная абонентская плата согласно действующим для приостановленных договоров тарифов городской телефонной сети.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8.6. В случае досрочного расторжения настоящего договора, Сторонами проводится взаиморасчеты, исходя из стоимости фактически оказанных услуг на момент расторжения договора.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 xml:space="preserve">8.7. В случае невозможности оказания «ИСПОЛНИТЕЛЕМ» предусмотренных договором услуг, по причинам, возникшим по вине «ЗАКАЗЧИКА», «ИСПОЛНИТЕЛЬ» вправе потребовать оплаты услуг в полном объеме за время вынужденного невыполнения услуг. 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center"/>
        <w:rPr/>
      </w:pPr>
      <w:r>
        <w:rPr>
          <w:rFonts w:ascii="Times New Roman" w:hAnsi="Times New Roman"/>
          <w:b/>
          <w:sz w:val="24"/>
        </w:rPr>
        <w:t>9. ОБСТОЯТЕЛЬСТВА НЕПРЕОДОЛИМОЙ СИЛЫ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9.1. Наличие обстоятельств непреодолимой силы непредвиденных, неконтролируемых, непредсказуемых, делающих исполнение условий настоящего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Сторона по настоящему договору, указов Президента РФ и постановлений Правительства РФ, изменений в текущем законодательстве или других независящих от сторон обстоятельств), возникших после заключения Сторонами настоящего договора, либо в ходе выполнения Сторонами принятых на себя обязательств, которые ни одна из Сторон не могла предвидеть или предотвратить доступными и посильными средствами, освобождает эту Сторону от ответственности за невыполнение или ненадлежащее выполнение взятых обязательств по настоящему договору.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9.2. Срок исполнения обязательств сдвигается соразмерно времени, в течение которого будут действовать такие обстоятельства, но не более чем на 30 дней. По истечении этого срока Стороны проводят переговоры о дальнейшей судьбе настоящего договора.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9.3. Сторона, для которой выполнение обязательств по настоящему договору стало невозможным вследствие наступления обстоятельств непреодолимой силы, должна информировать другие Стороны о наступлении таких обстоятельств в течение 5 дней.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4"/>
        </w:rPr>
        <w:t>10. СРОК ДЕЙСТВИЯ ДОГОВОРА.</w:t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4"/>
        </w:rPr>
        <w:t>ОСНОВАНИЯ ИЗМЕНЕНИЯ И РАСТОРЖЕНИЯ ДОГОВОРА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 xml:space="preserve">10.1. Настоящий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 xml:space="preserve"> вступает в силу с момента его подписания уполномоченными представителями обеих Сторон и заключается Сторонами до ____ декабря 201___ г., и распространяет своё действие на отношения Сторон с _____ ______________ 201____ г. (вариант:  Договор вступает в силу со дня заключения и действует по "__" _______ 20__ г. включительно.) ( Договор вступает в силу с даты его подписания обеими Сторонами и действует по "__" _______ 20__ г. Окончание срока действия договора не влечет прекращения неисполненных обязательств Сторон по договору)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Если в течение месяца до окончания срока действия договора ни одна из Сторон не заявила возражение о продлении срока его действия, он автоматически продлевается на один год на тех же условиях. Договор может автоматически продлеваться неограниченное количество раз.</w:t>
      </w:r>
    </w:p>
    <w:p>
      <w:pPr>
        <w:pStyle w:val="Normal"/>
        <w:widowControl w:val="false"/>
        <w:spacing w:lineRule="auto" w:line="240" w:before="0" w:after="0"/>
        <w:ind w:left="10" w:right="0" w:firstLine="540"/>
        <w:jc w:val="both"/>
        <w:rPr/>
      </w:pPr>
      <w:r>
        <w:rPr>
          <w:rFonts w:ascii="Times New Roman" w:hAnsi="Times New Roman"/>
          <w:sz w:val="24"/>
        </w:rPr>
        <w:t>10.2. Вносимые дополнения и изменения в договор, а также в приложения к договору рассматриваются Сторонами сроком 5 рабочих дней и оформляются дополнительным соглашением.</w:t>
      </w:r>
    </w:p>
    <w:p>
      <w:pPr>
        <w:pStyle w:val="Normal"/>
        <w:widowControl w:val="false"/>
        <w:tabs>
          <w:tab w:val="clear" w:pos="708"/>
          <w:tab w:val="left" w:pos="1176" w:leader="none"/>
        </w:tabs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b w:val="false"/>
          <w:sz w:val="24"/>
        </w:rPr>
        <w:t>Стороны согласовали, что договор на оказание услуг охраны или дополнительное соглашение в письменной форме может быть заключен(о) в т.ч. путем обмена электронными документами, передаваемыми по каналам связи, позволяющим достоверно установить, что документ исходит от Стороны договора или дополнительного соглашения, с последующей досылкой и подписанием оригинала.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10.3. Расторжение договора допускается по соглашению Сторон, по решению суда, в случае одностороннего отказа стороны договора от исполнения договора в соответствии с гражданским законодательством, а также в случаях предусмотренных настоящим договором.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10.4 Заказчик вправе принять решение об одностороннем отказе от исполнения договора по основаниям, предусмотренным Гражданским кодексом Российской Федерации для одностороннего отказа от исполнения отдельных видов обязательств.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10.5. Исполнитель вправе принять решение об одностороннем отказе от исполнения договора по основаниям, предусмотренным Гражданским кодексом Российской Федерации для одностороннего отказа от исполнения отдельных видов обязательств, если в договоре было</w:t>
      </w:r>
      <w:r>
        <w:rPr>
          <w:rFonts w:ascii="Times New Roman" w:hAnsi="Times New Roman"/>
          <w:sz w:val="24"/>
          <w:shd w:fill="auto" w:val="clear"/>
        </w:rPr>
        <w:t xml:space="preserve"> предусмотрено право Заказчика принять решение об одностороннем отказе от исполнения договора.</w:t>
      </w:r>
    </w:p>
    <w:p>
      <w:pPr>
        <w:pStyle w:val="Style38"/>
        <w:ind w:left="0" w:right="0" w:firstLine="540"/>
        <w:jc w:val="both"/>
        <w:rPr>
          <w:highlight w:val="none"/>
          <w:shd w:fill="auto" w:val="clear"/>
        </w:rPr>
      </w:pPr>
      <w:r>
        <w:rPr>
          <w:rFonts w:ascii="Times New Roman" w:hAnsi="Times New Roman"/>
          <w:b w:val="false"/>
          <w:sz w:val="24"/>
          <w:shd w:fill="auto" w:val="clear"/>
        </w:rPr>
        <w:t>1</w:t>
      </w:r>
      <w:r>
        <w:rPr>
          <w:rFonts w:ascii="Times New Roman" w:hAnsi="Times New Roman"/>
          <w:b w:val="false"/>
          <w:color w:val="000000"/>
          <w:sz w:val="24"/>
          <w:shd w:fill="auto" w:val="clear"/>
        </w:rPr>
        <w:t xml:space="preserve">0.6. При одностороннем отказе Стороны от исполнения Договора он будет считаться расторгнутым по истечении </w:t>
      </w:r>
      <w:r>
        <w:rPr>
          <w:rFonts w:ascii="Times New Roman" w:hAnsi="Times New Roman"/>
          <w:b w:val="false"/>
          <w:color w:val="000000"/>
          <w:sz w:val="24"/>
          <w:shd w:fill="auto" w:val="clear"/>
        </w:rPr>
        <w:t>_________ календарных дней</w:t>
      </w:r>
      <w:r>
        <w:rPr>
          <w:rFonts w:ascii="Times New Roman" w:hAnsi="Times New Roman"/>
          <w:b w:val="false"/>
          <w:color w:val="000000"/>
          <w:sz w:val="24"/>
          <w:shd w:fill="auto" w:val="clear"/>
        </w:rPr>
        <w:t xml:space="preserve"> после доставки соответствующего </w:t>
      </w:r>
      <w:r>
        <w:rPr>
          <w:rFonts w:ascii="Times New Roman" w:hAnsi="Times New Roman"/>
          <w:b w:val="false"/>
          <w:strike w:val="false"/>
          <w:dstrike w:val="false"/>
          <w:color w:val="000000"/>
          <w:sz w:val="24"/>
          <w:u w:val="none"/>
          <w:shd w:fill="auto" w:val="clear"/>
        </w:rPr>
        <w:t>уведомления</w:t>
      </w:r>
      <w:r>
        <w:rPr>
          <w:rFonts w:ascii="Times New Roman" w:hAnsi="Times New Roman"/>
          <w:b w:val="false"/>
          <w:color w:val="000000"/>
          <w:sz w:val="24"/>
          <w:shd w:fill="auto" w:val="clear"/>
        </w:rPr>
        <w:t xml:space="preserve"> другой Стороне. 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  <w:shd w:fill="auto" w:val="clear"/>
        </w:rPr>
        <w:t xml:space="preserve">10.7. При расторжении договора в </w:t>
      </w:r>
      <w:r>
        <w:rPr>
          <w:rFonts w:ascii="Times New Roman" w:hAnsi="Times New Roman"/>
          <w:color w:val="auto"/>
          <w:sz w:val="24"/>
        </w:rPr>
        <w:t xml:space="preserve">связи с односторонним отказом </w:t>
      </w:r>
      <w:r>
        <w:rPr>
          <w:rFonts w:ascii="Times New Roman" w:hAnsi="Times New Roman"/>
          <w:color w:val="auto"/>
          <w:sz w:val="24"/>
        </w:rPr>
        <w:t xml:space="preserve">Стороны </w:t>
      </w:r>
      <w:r>
        <w:rPr>
          <w:rFonts w:ascii="Times New Roman" w:hAnsi="Times New Roman"/>
          <w:color w:val="auto"/>
          <w:sz w:val="24"/>
        </w:rPr>
        <w:t xml:space="preserve">от исполнения договора другая </w:t>
      </w:r>
      <w:r>
        <w:rPr>
          <w:rFonts w:ascii="Times New Roman" w:hAnsi="Times New Roman"/>
          <w:color w:val="auto"/>
          <w:sz w:val="24"/>
        </w:rPr>
        <w:t xml:space="preserve">Сторона </w:t>
      </w:r>
      <w:r>
        <w:rPr>
          <w:rFonts w:ascii="Times New Roman" w:hAnsi="Times New Roman"/>
          <w:color w:val="auto"/>
          <w:sz w:val="24"/>
        </w:rPr>
        <w:t>вправе потребовать возмещения только фактически понесенного ущерба, непосредс</w:t>
      </w:r>
      <w:r>
        <w:rPr>
          <w:rFonts w:ascii="Times New Roman" w:hAnsi="Times New Roman"/>
          <w:sz w:val="24"/>
        </w:rPr>
        <w:t>твенно обусловленного обстоятельствами, являющимися основанием для принятия решения об одностороннем отказе от исполнения договора.</w:t>
      </w:r>
    </w:p>
    <w:p>
      <w:pPr>
        <w:pStyle w:val="Style38"/>
        <w:ind w:left="0" w:right="0" w:firstLine="540"/>
        <w:jc w:val="both"/>
        <w:rPr/>
      </w:pPr>
      <w:r>
        <w:rPr>
          <w:rFonts w:ascii="Times New Roman" w:hAnsi="Times New Roman"/>
          <w:color w:val="000000"/>
          <w:sz w:val="24"/>
        </w:rPr>
        <w:t>10.8. В случае изменения банковских реквизитов, юридических адресов, руководителей Сторона, у которой происходят такие изменения, обязана известить другие Стороны в течение 10 календарных дней с момента изменений.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10.9.  В случае наличия споров, разногласий и претензий относительно исполнения одной из Сторон своих обязательств другая Сторона может направить претензию. В отношении всех претензий, направляемых по настоящему договору, Сторона, к которой адресована данная претензия, должна дать письменный ответ по существу претензии в срок не позднее 10 (десяти)  дней с даты ее получения.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По всем вопросам, не урегулированным настоящим договором, Стороны руководствуются действующим законодательством Российской Федерации. Все споры между Сторонами, по которым не достигнуто соглашение, разрешаются в соответствии с законодательством Российской Федерации в Арбитражном суде Ростовской области.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10.10. Договор с приложениями составлен в двух экземплярах, один находится у «ИСПОЛНИТЕЛЯ», второй у «ЗАКАЗЧИКА».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widowControl w:val="false"/>
        <w:spacing w:lineRule="auto" w:line="240" w:before="0" w:after="0"/>
        <w:jc w:val="center"/>
        <w:rPr/>
      </w:pPr>
      <w:r>
        <w:rPr>
          <w:rFonts w:ascii="Times New Roman" w:hAnsi="Times New Roman"/>
          <w:b/>
          <w:sz w:val="24"/>
        </w:rPr>
        <w:t>11. КОНФИДЕНЦИАЛЬНОСТЬ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11.1. Стороны принимают на себя обязательства не разглашать полученные в ходе исполнения настоящего договора сведения, являющиеся конфиденциальными для каждой из Сторон. Под конфиденциальной информацией в договоре понимаются не являющие общедоступными сведения, разглашение которых может привести к возникновению убытков и/или повлиять на деловую репутацию любой из Сторон.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11.2. Стороны обязуются не разглашать указанную конфиденциальную информацию третьим лицам, за исключением согласованного предоставления конфиденциальной информации третьим лицам в целях исполнения договора или иных соглашений между «</w:t>
      </w:r>
      <w:r>
        <w:rPr>
          <w:rFonts w:ascii="Times New Roman" w:hAnsi="Times New Roman"/>
          <w:color w:val="000000"/>
          <w:sz w:val="24"/>
        </w:rPr>
        <w:t>Сторонами</w:t>
      </w:r>
      <w:r>
        <w:rPr>
          <w:rFonts w:ascii="Times New Roman" w:hAnsi="Times New Roman"/>
          <w:sz w:val="24"/>
        </w:rPr>
        <w:t>».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11.3. Конфиденциальная информация может быть выдана третьим лицам только в порядке, установленном законодательством Российской Федерации.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>
          <w:rFonts w:ascii="Times New Roman" w:hAnsi="Times New Roman"/>
          <w:sz w:val="24"/>
        </w:rPr>
        <w:t>11.4. В случае прекращения действия настоящего договора, Стороны обязуются не разглашать и не использовать в своих интересах и/или интересах третьих лиц конфиденциальную информацию, в течении 3 лет с момента прекращения действия договора.</w:t>
      </w:r>
    </w:p>
    <w:p>
      <w:pPr>
        <w:pStyle w:val="Normal"/>
        <w:widowControl w:val="false"/>
        <w:spacing w:lineRule="auto" w:line="240" w:before="0" w:after="0"/>
        <w:ind w:left="0" w:right="0" w:firstLine="540"/>
        <w:jc w:val="both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0" w:right="0" w:firstLine="709"/>
        <w:jc w:val="center"/>
        <w:rPr/>
      </w:pPr>
      <w:r>
        <w:rPr>
          <w:rFonts w:ascii="Times New Roman" w:hAnsi="Times New Roman"/>
          <w:b/>
          <w:sz w:val="24"/>
        </w:rPr>
        <w:t>13. ПРИЛОЖЕНИЯ</w:t>
      </w:r>
    </w:p>
    <w:p>
      <w:pPr>
        <w:pStyle w:val="Normal"/>
        <w:widowControl w:val="false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4"/>
        </w:rPr>
        <w:t>13.1. Перечень охраняемых объектов.</w:t>
      </w:r>
    </w:p>
    <w:p>
      <w:pPr>
        <w:pStyle w:val="Normal"/>
        <w:widowControl w:val="false"/>
        <w:spacing w:lineRule="auto" w:line="240" w:before="0" w:after="0"/>
        <w:ind w:left="10" w:right="0" w:hanging="10"/>
        <w:rPr/>
      </w:pPr>
      <w:r>
        <w:rPr>
          <w:rFonts w:ascii="Times New Roman" w:hAnsi="Times New Roman"/>
          <w:color w:val="000000"/>
          <w:sz w:val="24"/>
        </w:rPr>
        <w:t xml:space="preserve">Вышеперечисленное приложение является неотъемлемой частью настоящего </w:t>
      </w:r>
      <w:r>
        <w:rPr>
          <w:rFonts w:ascii="Times New Roman" w:hAnsi="Times New Roman"/>
          <w:sz w:val="24"/>
        </w:rPr>
        <w:t>договор</w:t>
      </w:r>
      <w:r>
        <w:rPr>
          <w:rFonts w:ascii="Times New Roman" w:hAnsi="Times New Roman"/>
          <w:color w:val="000000"/>
          <w:sz w:val="24"/>
        </w:rPr>
        <w:t>а.</w:t>
      </w:r>
    </w:p>
    <w:p>
      <w:pPr>
        <w:pStyle w:val="Normal"/>
        <w:widowControl w:val="false"/>
        <w:spacing w:lineRule="auto" w:line="240" w:before="0" w:after="0"/>
        <w:ind w:left="10" w:right="0" w:firstLine="567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widowControl w:val="false"/>
        <w:spacing w:lineRule="auto" w:line="240" w:before="0" w:after="0"/>
        <w:ind w:left="0" w:right="154" w:hanging="0"/>
        <w:jc w:val="center"/>
        <w:rPr/>
      </w:pPr>
      <w:r>
        <w:rPr>
          <w:rFonts w:ascii="Times New Roman" w:hAnsi="Times New Roman"/>
          <w:b/>
          <w:color w:val="000000"/>
          <w:spacing w:val="-7"/>
          <w:sz w:val="24"/>
        </w:rPr>
        <w:t>14. ЮРИДИЧЕСКИЕ АДРЕСА И БАНКОВСКИЕ РЕКВИЗИТЫ СТОРОН:</w:t>
      </w:r>
    </w:p>
    <w:p>
      <w:pPr>
        <w:pStyle w:val="Normal"/>
        <w:widowControl w:val="false"/>
        <w:spacing w:lineRule="auto" w:line="240" w:before="0" w:after="0"/>
        <w:ind w:left="0" w:right="154" w:hanging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tbl>
      <w:tblPr>
        <w:tblStyle w:val="Style_5"/>
        <w:tblW w:w="977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5"/>
        <w:gridCol w:w="4861"/>
      </w:tblGrid>
      <w:tr>
        <w:trPr/>
        <w:tc>
          <w:tcPr>
            <w:tcW w:w="4915" w:type="dxa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  <w:t>«ИСПОЛНИТЕЛЬ»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>тел. ___________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электронная почта: ___________________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«ИСПОЛНИТЕЛЬ»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Начальник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________________  ______________ 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М.П.</w:t>
            </w:r>
          </w:p>
        </w:tc>
        <w:tc>
          <w:tcPr>
            <w:tcW w:w="4861" w:type="dxa"/>
            <w:tcBorders/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  <w:t>«ЗАКАЗЧИК»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760" w:right="0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  <w:t>тел. ___________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  <w:t>электронная почта: ___________________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  <w:t>«ЗАКАЗЧИК»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 w:val="false"/>
                <w:sz w:val="24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 w:val="false"/>
                <w:sz w:val="24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left"/>
              <w:rPr>
                <w:rFonts w:ascii="Times New Roman" w:hAnsi="Times New Roman"/>
                <w:b w:val="false"/>
                <w:sz w:val="24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 xml:space="preserve">________________  ______________ 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54" w:hanging="0"/>
              <w:jc w:val="both"/>
              <w:rPr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kern w:val="0"/>
                <w:sz w:val="24"/>
                <w:szCs w:val="20"/>
              </w:rPr>
              <w:t>М.П.</w:t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0" w:right="154" w:hanging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57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widowControl w:val="false"/>
        <w:spacing w:lineRule="auto" w:line="240" w:before="0" w:after="0"/>
        <w:ind w:left="0" w:right="57" w:firstLine="709"/>
        <w:jc w:val="both"/>
        <w:rPr/>
      </w:pPr>
      <w:r>
        <w:rPr/>
      </w:r>
    </w:p>
    <w:p>
      <w:pPr>
        <w:pStyle w:val="Normal"/>
        <w:widowControl w:val="false"/>
        <w:spacing w:lineRule="auto" w:line="240" w:before="0" w:after="0"/>
        <w:ind w:left="0" w:right="57" w:firstLine="709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418" w:right="929" w:gutter="0" w:header="720" w:top="1258" w:footer="0" w:bottom="1079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ahoma">
    <w:charset w:val="01"/>
    <w:family w:val="roman"/>
    <w:pitch w:val="default"/>
  </w:font>
  <w:font w:name="PT Sans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6"/>
      <w:ind w:left="0"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2240" cy="169545"/>
              <wp:effectExtent l="0" t="635" r="0" b="0"/>
              <wp:wrapSquare wrapText="largest"/>
              <wp:docPr id="1" name="Picture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2200" cy="1695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Normal"/>
                            <w:spacing w:before="0" w:after="200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rPr/>
                            <w:instrText xml:space="preserve"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13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Picture 1" path="m0,0l-2147483645,0l-2147483645,-2147483646l0,-2147483646xe" fillcolor="white" stroked="f" o:allowincell="f" style="position:absolute;margin-left:233.35pt;margin-top:0.05pt;width:11.15pt;height:13.3pt;mso-wrap-style:square;v-text-anchor:top;mso-position-horizontal:center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Normal"/>
                      <w:spacing w:before="0" w:after="200"/>
                      <w:rPr/>
                    </w:pPr>
                    <w:r>
                      <w:rPr/>
                      <w:fldChar w:fldCharType="begin"/>
                    </w:r>
                    <w:r>
                      <w:rPr/>
                      <w:instrText xml:space="preserve"> PAGE </w:instrText>
                    </w:r>
                    <w:r>
                      <w:rPr/>
                      <w:fldChar w:fldCharType="separate"/>
                    </w:r>
                    <w:r>
                      <w:rPr/>
                      <w:t>13</w:t>
                    </w:r>
                    <w:r>
                      <w:rPr/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5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End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uiPriority w:val="9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uiPriority w:val="9"/>
    <w:qFormat/>
    <w:pPr>
      <w:widowControl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uiPriority w:val="9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uiPriority w:val="9"/>
    <w:qFormat/>
    <w:pPr>
      <w:widowControl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uiPriority w:val="9"/>
    <w:qFormat/>
    <w:pPr>
      <w:widowControl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7">
    <w:name w:val="Contents 7"/>
    <w:link w:val="Contents71"/>
    <w:qFormat/>
    <w:rPr>
      <w:rFonts w:ascii="Times New Roman" w:hAnsi="Times New Roman"/>
      <w:color w:val="000000"/>
      <w:spacing w:val="0"/>
      <w:sz w:val="22"/>
    </w:rPr>
  </w:style>
  <w:style w:type="character" w:styleId="Style9">
    <w:name w:val="Содержимое врезки"/>
    <w:link w:val="Style25"/>
    <w:qFormat/>
    <w:rPr/>
  </w:style>
  <w:style w:type="character" w:styleId="WW8Num2z2">
    <w:name w:val="WW8Num2z2"/>
    <w:link w:val="WW8Num2z21"/>
    <w:qFormat/>
    <w:rPr>
      <w:rFonts w:ascii="Times New Roman" w:hAnsi="Times New Roman"/>
      <w:color w:val="000000"/>
      <w:spacing w:val="0"/>
      <w:sz w:val="22"/>
    </w:rPr>
  </w:style>
  <w:style w:type="character" w:styleId="-">
    <w:name w:val="Hyperlink"/>
    <w:link w:val="-1"/>
    <w:rPr>
      <w:rFonts w:ascii="Times New Roman" w:hAnsi="Times New Roman"/>
      <w:color w:val="0000FF"/>
      <w:spacing w:val="0"/>
      <w:sz w:val="22"/>
      <w:u w:val="single"/>
    </w:rPr>
  </w:style>
  <w:style w:type="character" w:styleId="Style10">
    <w:name w:val="Символ нумерации"/>
    <w:link w:val="Style26"/>
    <w:qFormat/>
    <w:rPr>
      <w:rFonts w:ascii="Times New Roman" w:hAnsi="Times New Roman"/>
      <w:color w:val="000000"/>
      <w:spacing w:val="0"/>
      <w:sz w:val="22"/>
    </w:rPr>
  </w:style>
  <w:style w:type="character" w:styleId="Contents2">
    <w:name w:val="Contents 2"/>
    <w:link w:val="Contents21"/>
    <w:qFormat/>
    <w:rPr/>
  </w:style>
  <w:style w:type="character" w:styleId="Contents4">
    <w:name w:val="Contents 4"/>
    <w:link w:val="Contents41"/>
    <w:qFormat/>
    <w:rPr/>
  </w:style>
  <w:style w:type="character" w:styleId="Pagenumber">
    <w:name w:val="page number"/>
    <w:link w:val="Pagenumber1"/>
    <w:qFormat/>
    <w:rPr/>
  </w:style>
  <w:style w:type="character" w:styleId="Textbody">
    <w:name w:val="Text body"/>
    <w:link w:val="Textbody1"/>
    <w:qFormat/>
    <w:rPr/>
  </w:style>
  <w:style w:type="character" w:styleId="Contents6">
    <w:name w:val="Contents 6"/>
    <w:link w:val="Contents61"/>
    <w:qFormat/>
    <w:rPr/>
  </w:style>
  <w:style w:type="character" w:styleId="WW8Num2z5">
    <w:name w:val="WW8Num2z5"/>
    <w:link w:val="WW8Num2z51"/>
    <w:qFormat/>
    <w:rPr/>
  </w:style>
  <w:style w:type="character" w:styleId="Style11">
    <w:name w:val=" Знак Знак"/>
    <w:link w:val="Style27"/>
    <w:qFormat/>
    <w:rPr>
      <w:rFonts w:ascii="Tahoma" w:hAnsi="Tahoma"/>
      <w:color w:val="000000"/>
      <w:spacing w:val="0"/>
      <w:sz w:val="16"/>
    </w:rPr>
  </w:style>
  <w:style w:type="character" w:styleId="Style12">
    <w:name w:val="Содержимое таблицы"/>
    <w:link w:val="Style28"/>
    <w:qFormat/>
    <w:rPr/>
  </w:style>
  <w:style w:type="character" w:styleId="Style13">
    <w:name w:val="Текст выноски"/>
    <w:link w:val="Style29"/>
    <w:qFormat/>
    <w:rPr>
      <w:rFonts w:ascii="Tahoma" w:hAnsi="Tahoma"/>
      <w:sz w:val="16"/>
    </w:rPr>
  </w:style>
  <w:style w:type="character" w:styleId="WW8Num1z3">
    <w:name w:val="WW8Num1z3"/>
    <w:link w:val="WW8Num1z31"/>
    <w:qFormat/>
    <w:rPr/>
  </w:style>
  <w:style w:type="character" w:styleId="Contents3">
    <w:name w:val="Contents 3"/>
    <w:link w:val="Contents31"/>
    <w:qFormat/>
    <w:rPr>
      <w:rFonts w:ascii="Times New Roman" w:hAnsi="Times New Roman"/>
      <w:color w:val="000000"/>
      <w:spacing w:val="0"/>
      <w:sz w:val="22"/>
    </w:rPr>
  </w:style>
  <w:style w:type="character" w:styleId="Style14">
    <w:name w:val="Основной шрифт абзаца"/>
    <w:link w:val="Style30"/>
    <w:qFormat/>
    <w:rPr/>
  </w:style>
  <w:style w:type="character" w:styleId="Textbodyindent">
    <w:name w:val="Text body indent"/>
    <w:link w:val="Textbodyindent1"/>
    <w:qFormat/>
    <w:rPr>
      <w:rFonts w:ascii="Times New Roman" w:hAnsi="Times New Roman"/>
      <w:color w:val="000000"/>
      <w:sz w:val="28"/>
    </w:rPr>
  </w:style>
  <w:style w:type="character" w:styleId="Contents5">
    <w:name w:val="Contents 5"/>
    <w:link w:val="Contents51"/>
    <w:qFormat/>
    <w:rPr>
      <w:rFonts w:ascii="Times New Roman" w:hAnsi="Times New Roman"/>
      <w:color w:val="000000"/>
      <w:spacing w:val="0"/>
      <w:sz w:val="22"/>
    </w:rPr>
  </w:style>
  <w:style w:type="character" w:styleId="WW8Num1z1">
    <w:name w:val="WW8Num1z1"/>
    <w:link w:val="WW8Num1z11"/>
    <w:qFormat/>
    <w:rPr>
      <w:rFonts w:ascii="Times New Roman" w:hAnsi="Times New Roman"/>
      <w:color w:val="000000"/>
      <w:spacing w:val="0"/>
      <w:sz w:val="22"/>
    </w:rPr>
  </w:style>
  <w:style w:type="character" w:styleId="Endnote">
    <w:name w:val="Endnote"/>
    <w:link w:val="Endnote1"/>
    <w:qFormat/>
    <w:rPr>
      <w:rFonts w:ascii="XO Thames" w:hAnsi="XO Thames"/>
      <w:sz w:val="22"/>
    </w:rPr>
  </w:style>
  <w:style w:type="character" w:styleId="Heading3">
    <w:name w:val="Heading 3"/>
    <w:qFormat/>
    <w:rPr>
      <w:rFonts w:ascii="XO Thames" w:hAnsi="XO Thames"/>
      <w:b/>
      <w:i/>
      <w:color w:val="000000"/>
    </w:rPr>
  </w:style>
  <w:style w:type="character" w:styleId="Subtitle">
    <w:name w:val="Subtitle"/>
    <w:qFormat/>
    <w:rPr>
      <w:rFonts w:ascii="XO Thames" w:hAnsi="XO Thames"/>
      <w:i/>
      <w:color w:val="616161"/>
      <w:spacing w:val="0"/>
      <w:sz w:val="24"/>
    </w:rPr>
  </w:style>
  <w:style w:type="character" w:styleId="WW8Num2z3">
    <w:name w:val="WW8Num2z3"/>
    <w:link w:val="WW8Num2z31"/>
    <w:qFormat/>
    <w:rPr>
      <w:rFonts w:ascii="Times New Roman" w:hAnsi="Times New Roman"/>
      <w:color w:val="000000"/>
      <w:spacing w:val="0"/>
      <w:sz w:val="22"/>
    </w:rPr>
  </w:style>
  <w:style w:type="character" w:styleId="Caption">
    <w:name w:val="Caption"/>
    <w:qFormat/>
    <w:rPr>
      <w:rFonts w:ascii="PT Sans" w:hAnsi="PT Sans"/>
      <w:i/>
      <w:sz w:val="24"/>
    </w:rPr>
  </w:style>
  <w:style w:type="character" w:styleId="List">
    <w:name w:val="List"/>
    <w:basedOn w:val="Textbody"/>
    <w:qFormat/>
    <w:rPr>
      <w:rFonts w:ascii="PT Astra Serif" w:hAnsi="PT Astra Serif"/>
    </w:rPr>
  </w:style>
  <w:style w:type="character" w:styleId="Heading2">
    <w:name w:val="Heading 2"/>
    <w:qFormat/>
    <w:rPr>
      <w:rFonts w:ascii="XO Thames" w:hAnsi="XO Thames"/>
      <w:b/>
      <w:color w:val="00A0FF"/>
      <w:spacing w:val="0"/>
      <w:sz w:val="26"/>
    </w:rPr>
  </w:style>
  <w:style w:type="character" w:styleId="WW8Num2z6">
    <w:name w:val="WW8Num2z6"/>
    <w:link w:val="WW8Num2z61"/>
    <w:qFormat/>
    <w:rPr/>
  </w:style>
  <w:style w:type="character" w:styleId="Style15">
    <w:name w:val="Верхний и нижний колонтитулы"/>
    <w:link w:val="Style32"/>
    <w:qFormat/>
    <w:rPr/>
  </w:style>
  <w:style w:type="character" w:styleId="WW8Num1z0">
    <w:name w:val="WW8Num1z0"/>
    <w:link w:val="WW8Num1z01"/>
    <w:qFormat/>
    <w:rPr>
      <w:rFonts w:ascii="Times New Roman" w:hAnsi="Times New Roman"/>
      <w:color w:val="000000"/>
      <w:spacing w:val="0"/>
      <w:sz w:val="22"/>
    </w:rPr>
  </w:style>
  <w:style w:type="character" w:styleId="Heading5">
    <w:name w:val="Heading 5"/>
    <w:qFormat/>
    <w:rPr>
      <w:rFonts w:ascii="XO Thames" w:hAnsi="XO Thames"/>
      <w:b/>
      <w:color w:val="000000"/>
      <w:spacing w:val="0"/>
      <w:sz w:val="22"/>
    </w:rPr>
  </w:style>
  <w:style w:type="character" w:styleId="Title">
    <w:name w:val="Title"/>
    <w:qFormat/>
    <w:rPr>
      <w:rFonts w:ascii="XO Thames" w:hAnsi="XO Thames"/>
      <w:b/>
      <w:color w:val="000000"/>
      <w:spacing w:val="0"/>
      <w:sz w:val="52"/>
    </w:rPr>
  </w:style>
  <w:style w:type="character" w:styleId="Style16">
    <w:name w:val="Указатель"/>
    <w:link w:val="Style24"/>
    <w:qFormat/>
    <w:rPr>
      <w:rFonts w:ascii="PT Astra Serif" w:hAnsi="PT Astra Serif"/>
    </w:rPr>
  </w:style>
  <w:style w:type="character" w:styleId="WW8Num2z8">
    <w:name w:val="WW8Num2z8"/>
    <w:link w:val="WW8Num2z81"/>
    <w:qFormat/>
    <w:rPr>
      <w:rFonts w:ascii="Times New Roman" w:hAnsi="Times New Roman"/>
      <w:color w:val="000000"/>
      <w:spacing w:val="0"/>
      <w:sz w:val="22"/>
    </w:rPr>
  </w:style>
  <w:style w:type="character" w:styleId="WW8Num2z1">
    <w:name w:val="WW8Num2z1"/>
    <w:link w:val="WW8Num2z11"/>
    <w:qFormat/>
    <w:rPr/>
  </w:style>
  <w:style w:type="character" w:styleId="Style17">
    <w:name w:val="Заголовок"/>
    <w:link w:val="Style20"/>
    <w:qFormat/>
    <w:rPr>
      <w:rFonts w:ascii="PT Astra Serif" w:hAnsi="PT Astra Serif"/>
      <w:sz w:val="28"/>
    </w:rPr>
  </w:style>
  <w:style w:type="character" w:styleId="Contents1">
    <w:name w:val="Contents 1"/>
    <w:link w:val="Contents11"/>
    <w:qFormat/>
    <w:rPr>
      <w:rFonts w:ascii="XO Thames" w:hAnsi="XO Thames"/>
      <w:b/>
      <w:color w:val="000000"/>
      <w:spacing w:val="0"/>
      <w:sz w:val="22"/>
    </w:rPr>
  </w:style>
  <w:style w:type="character" w:styleId="Caption1">
    <w:name w:val="caption"/>
    <w:link w:val="Caption2"/>
    <w:qFormat/>
    <w:rPr>
      <w:rFonts w:ascii="PT Astra Serif" w:hAnsi="PT Astra Serif"/>
      <w:i/>
      <w:sz w:val="24"/>
    </w:rPr>
  </w:style>
  <w:style w:type="character" w:styleId="Strong">
    <w:name w:val="Strong"/>
    <w:link w:val="Strong1"/>
    <w:qFormat/>
    <w:rPr>
      <w:b/>
    </w:rPr>
  </w:style>
  <w:style w:type="character" w:styleId="WW8Num1z4">
    <w:name w:val="WW8Num1z4"/>
    <w:link w:val="WW8Num1z41"/>
    <w:qFormat/>
    <w:rPr/>
  </w:style>
  <w:style w:type="character" w:styleId="Toc10">
    <w:name w:val="toc 10"/>
    <w:link w:val="Toc101"/>
    <w:qFormat/>
    <w:rPr/>
  </w:style>
  <w:style w:type="character" w:styleId="WW8Num2z4">
    <w:name w:val="WW8Num2z4"/>
    <w:link w:val="WW8Num2z41"/>
    <w:qFormat/>
    <w:rPr>
      <w:rFonts w:ascii="Times New Roman" w:hAnsi="Times New Roman"/>
      <w:color w:val="000000"/>
      <w:spacing w:val="0"/>
      <w:sz w:val="22"/>
    </w:rPr>
  </w:style>
  <w:style w:type="character" w:styleId="Contents9">
    <w:name w:val="Contents 9"/>
    <w:link w:val="Contents91"/>
    <w:qFormat/>
    <w:rPr>
      <w:rFonts w:ascii="Times New Roman" w:hAnsi="Times New Roman"/>
      <w:color w:val="000000"/>
      <w:spacing w:val="0"/>
      <w:sz w:val="22"/>
    </w:rPr>
  </w:style>
  <w:style w:type="character" w:styleId="Header">
    <w:name w:val="Header"/>
    <w:qFormat/>
    <w:rPr>
      <w:rFonts w:ascii="Times New Roman" w:hAnsi="Times New Roman"/>
      <w:sz w:val="20"/>
    </w:rPr>
  </w:style>
  <w:style w:type="character" w:styleId="Heading4">
    <w:name w:val="Heading 4"/>
    <w:qFormat/>
    <w:rPr>
      <w:rFonts w:ascii="XO Thames" w:hAnsi="XO Thames"/>
      <w:b/>
      <w:color w:val="595959"/>
      <w:spacing w:val="0"/>
      <w:sz w:val="26"/>
    </w:rPr>
  </w:style>
  <w:style w:type="character" w:styleId="Heading1">
    <w:name w:val="Heading 1"/>
    <w:qFormat/>
    <w:rPr>
      <w:rFonts w:ascii="XO Thames" w:hAnsi="XO Thames"/>
      <w:b/>
      <w:sz w:val="32"/>
    </w:rPr>
  </w:style>
  <w:style w:type="character" w:styleId="WW8Num2z0">
    <w:name w:val="WW8Num2z0"/>
    <w:link w:val="WW8Num2z01"/>
    <w:qFormat/>
    <w:rPr/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WW8Num1z8">
    <w:name w:val="WW8Num1z8"/>
    <w:link w:val="WW8Num1z81"/>
    <w:qFormat/>
    <w:rPr>
      <w:rFonts w:ascii="Times New Roman" w:hAnsi="Times New Roman"/>
      <w:color w:val="000000"/>
      <w:spacing w:val="0"/>
      <w:sz w:val="22"/>
    </w:rPr>
  </w:style>
  <w:style w:type="character" w:styleId="HeaderandFooter">
    <w:name w:val="Header and Footer"/>
    <w:qFormat/>
    <w:rPr>
      <w:rFonts w:ascii="XO Thames" w:hAnsi="XO Thames"/>
      <w:sz w:val="20"/>
    </w:rPr>
  </w:style>
  <w:style w:type="character" w:styleId="WW8Num1z7">
    <w:name w:val="WW8Num1z7"/>
    <w:link w:val="WW8Num1z71"/>
    <w:qFormat/>
    <w:rPr>
      <w:rFonts w:ascii="Times New Roman" w:hAnsi="Times New Roman"/>
      <w:color w:val="000000"/>
      <w:spacing w:val="0"/>
      <w:sz w:val="22"/>
    </w:rPr>
  </w:style>
  <w:style w:type="character" w:styleId="Style18">
    <w:name w:val="Заголовок таблицы"/>
    <w:basedOn w:val="Style12"/>
    <w:link w:val="Style37"/>
    <w:qFormat/>
    <w:rPr>
      <w:b/>
    </w:rPr>
  </w:style>
  <w:style w:type="character" w:styleId="WW8Num1z6">
    <w:name w:val="WW8Num1z6"/>
    <w:link w:val="WW8Num1z61"/>
    <w:qFormat/>
    <w:rPr>
      <w:rFonts w:ascii="Times New Roman" w:hAnsi="Times New Roman"/>
      <w:color w:val="000000"/>
      <w:spacing w:val="0"/>
      <w:sz w:val="22"/>
    </w:rPr>
  </w:style>
  <w:style w:type="character" w:styleId="WW8Num1z2">
    <w:name w:val="WW8Num1z2"/>
    <w:link w:val="WW8Num1z21"/>
    <w:qFormat/>
    <w:rPr/>
  </w:style>
  <w:style w:type="character" w:styleId="11">
    <w:name w:val=" Знак Знак1"/>
    <w:link w:val="13"/>
    <w:qFormat/>
    <w:rPr>
      <w:rFonts w:ascii="Times New Roman" w:hAnsi="Times New Roman"/>
    </w:rPr>
  </w:style>
  <w:style w:type="character" w:styleId="Contents8">
    <w:name w:val="Contents 8"/>
    <w:link w:val="Contents81"/>
    <w:qFormat/>
    <w:rPr/>
  </w:style>
  <w:style w:type="character" w:styleId="Style19">
    <w:name w:val="Без интервала"/>
    <w:link w:val="Style38"/>
    <w:qFormat/>
    <w:rPr>
      <w:rFonts w:ascii="Calibri" w:hAnsi="Calibri"/>
      <w:color w:val="000000"/>
      <w:sz w:val="22"/>
    </w:rPr>
  </w:style>
  <w:style w:type="character" w:styleId="WW8Num1z5">
    <w:name w:val="WW8Num1z5"/>
    <w:link w:val="WW8Num1z51"/>
    <w:qFormat/>
    <w:rPr>
      <w:rFonts w:ascii="Times New Roman" w:hAnsi="Times New Roman"/>
      <w:color w:val="000000"/>
      <w:spacing w:val="0"/>
      <w:sz w:val="22"/>
    </w:rPr>
  </w:style>
  <w:style w:type="character" w:styleId="WW8Num2z7">
    <w:name w:val="WW8Num2z7"/>
    <w:link w:val="WW8Num2z71"/>
    <w:qFormat/>
    <w:rPr/>
  </w:style>
  <w:style w:type="character" w:styleId="DefaultParagraphFont">
    <w:name w:val="Default Paragraph Font"/>
    <w:link w:val="DefaultParagraphFont1"/>
    <w:qFormat/>
    <w:rPr/>
  </w:style>
  <w:style w:type="paragraph" w:styleId="Style20">
    <w:name w:val="Заголовок"/>
    <w:next w:val="Style21"/>
    <w:link w:val="Style17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Textbody1"/>
    <w:pPr/>
    <w:rPr>
      <w:rFonts w:ascii="PT Astra Serif" w:hAnsi="PT Astra Serif"/>
    </w:rPr>
  </w:style>
  <w:style w:type="paragraph" w:styleId="Style23">
    <w:name w:val="Caption"/>
    <w:basedOn w:val="Normal"/>
    <w:qFormat/>
    <w:pPr>
      <w:spacing w:before="120" w:after="120"/>
    </w:pPr>
    <w:rPr>
      <w:rFonts w:ascii="PT Sans" w:hAnsi="PT Sans"/>
      <w:i/>
      <w:sz w:val="24"/>
    </w:rPr>
  </w:style>
  <w:style w:type="paragraph" w:styleId="Style24">
    <w:name w:val="Указатель"/>
    <w:link w:val="Style16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71">
    <w:name w:val="Contents 7"/>
    <w:link w:val="Contents7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5">
    <w:name w:val="Содержимое врезки"/>
    <w:link w:val="Style9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WW8Num2z2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-1">
    <w:name w:val="Интернет-ссылка"/>
    <w:link w:val="-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Символ нумерации"/>
    <w:link w:val="Style1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21">
    <w:name w:val="TOC 2"/>
    <w:next w:val="Normal"/>
    <w:uiPriority w:val="39"/>
    <w:pPr>
      <w:widowControl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41">
    <w:name w:val="TOC 4"/>
    <w:next w:val="Normal"/>
    <w:uiPriority w:val="39"/>
    <w:pPr>
      <w:widowControl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Pagenumber1">
    <w:name w:val="page number"/>
    <w:link w:val="Pagenumber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extbody1">
    <w:name w:val="Text body"/>
    <w:link w:val="Textbody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uiPriority w:val="39"/>
    <w:pPr>
      <w:widowControl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51">
    <w:name w:val="WW8Num2z5"/>
    <w:link w:val="WW8Num2z5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7">
    <w:name w:val=" Знак Знак"/>
    <w:link w:val="Style1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ahoma" w:hAnsi="Tahoma" w:eastAsia="Tahoma" w:cs="Noto Sans Devanagari"/>
      <w:color w:val="000000"/>
      <w:spacing w:val="0"/>
      <w:kern w:val="0"/>
      <w:sz w:val="16"/>
      <w:szCs w:val="20"/>
      <w:lang w:val="ru-RU" w:eastAsia="zh-CN" w:bidi="hi-IN"/>
    </w:rPr>
  </w:style>
  <w:style w:type="paragraph" w:styleId="Contents41">
    <w:name w:val="Contents 4"/>
    <w:link w:val="Contents4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7">
    <w:name w:val="TOC 7"/>
    <w:next w:val="Normal"/>
    <w:uiPriority w:val="39"/>
    <w:pPr>
      <w:widowControl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8">
    <w:name w:val="Содержимое таблицы"/>
    <w:link w:val="Style12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9">
    <w:name w:val="Текст выноски"/>
    <w:basedOn w:val="Normal"/>
    <w:link w:val="Style13"/>
    <w:qFormat/>
    <w:pPr>
      <w:spacing w:lineRule="auto" w:line="240" w:before="0" w:after="0"/>
    </w:pPr>
    <w:rPr>
      <w:rFonts w:ascii="Tahoma" w:hAnsi="Tahoma"/>
      <w:sz w:val="16"/>
    </w:rPr>
  </w:style>
  <w:style w:type="paragraph" w:styleId="WW8Num1z31">
    <w:name w:val="WW8Num1z3"/>
    <w:link w:val="WW8Num1z3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31">
    <w:name w:val="Contents 3"/>
    <w:link w:val="Contents3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Основной шрифт абзаца"/>
    <w:link w:val="Style14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extbodyindent1">
    <w:name w:val="Text body indent"/>
    <w:link w:val="Textbodyindent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Contents51">
    <w:name w:val="Contents 5"/>
    <w:link w:val="Contents5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WW8Num1z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Endnote1">
    <w:name w:val="Endnote"/>
    <w:link w:val="Endnote"/>
    <w:qFormat/>
    <w:pPr>
      <w:widowControl/>
      <w:bidi w:val="0"/>
      <w:spacing w:lineRule="auto" w:line="240" w:before="0" w:after="0"/>
      <w:ind w:left="0" w:right="0" w:firstLine="851"/>
      <w:jc w:val="both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1">
    <w:name w:val="Subtitle"/>
    <w:next w:val="Normal"/>
    <w:uiPriority w:val="1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WW8Num2z31">
    <w:name w:val="WW8Num2z3"/>
    <w:link w:val="WW8Num2z3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61">
    <w:name w:val="WW8Num2z6"/>
    <w:link w:val="WW8Num2z6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Верхний и нижний колонтитулы"/>
    <w:link w:val="Style15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WW8Num1z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3">
    <w:name w:val="Title"/>
    <w:next w:val="Normal"/>
    <w:uiPriority w:val="1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WW8Num2z81">
    <w:name w:val="WW8Num2z8"/>
    <w:link w:val="WW8Num2z8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11">
    <w:name w:val="WW8Num2z1"/>
    <w:link w:val="WW8Num2z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11">
    <w:name w:val="Contents 1"/>
    <w:link w:val="Contents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link w:val="Caption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i/>
      <w:color w:val="000000"/>
      <w:spacing w:val="0"/>
      <w:kern w:val="0"/>
      <w:sz w:val="24"/>
      <w:szCs w:val="20"/>
      <w:lang w:val="ru-RU" w:eastAsia="zh-CN" w:bidi="hi-IN"/>
    </w:rPr>
  </w:style>
  <w:style w:type="paragraph" w:styleId="Style34">
    <w:name w:val="Body Text Indent"/>
    <w:basedOn w:val="Normal"/>
    <w:pPr>
      <w:widowControl w:val="false"/>
      <w:spacing w:lineRule="auto" w:line="240" w:before="0" w:after="0"/>
      <w:ind w:left="10" w:right="0" w:hanging="0"/>
    </w:pPr>
    <w:rPr>
      <w:rFonts w:ascii="Times New Roman" w:hAnsi="Times New Roman"/>
      <w:color w:val="000000"/>
      <w:sz w:val="28"/>
    </w:rPr>
  </w:style>
  <w:style w:type="paragraph" w:styleId="31">
    <w:name w:val="TOC 3"/>
    <w:next w:val="Normal"/>
    <w:uiPriority w:val="39"/>
    <w:pPr>
      <w:widowControl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rong1">
    <w:name w:val="Strong"/>
    <w:link w:val="Strong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41">
    <w:name w:val="WW8Num1z4"/>
    <w:link w:val="WW8Num1z4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Toc101">
    <w:name w:val="toc 10"/>
    <w:next w:val="Normal"/>
    <w:link w:val="Toc1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WW8Num2z4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Contents91">
    <w:name w:val="Contents 9"/>
    <w:link w:val="Contents9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5">
    <w:name w:val="Колонтитул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6">
    <w:name w:val="Header"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21">
    <w:name w:val="Contents 2"/>
    <w:link w:val="Contents2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WW8Num2z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Internet link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Footnote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2">
    <w:name w:val="TOC 1"/>
    <w:next w:val="Normal"/>
    <w:uiPriority w:val="39"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81">
    <w:name w:val="WW8Num1z8"/>
    <w:link w:val="WW8Num1z8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71">
    <w:name w:val="WW8Num1z7"/>
    <w:link w:val="WW8Num1z7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7">
    <w:name w:val="Заголовок таблицы"/>
    <w:basedOn w:val="Style28"/>
    <w:link w:val="Style18"/>
    <w:qFormat/>
    <w:pPr/>
    <w:rPr>
      <w:b/>
    </w:rPr>
  </w:style>
  <w:style w:type="paragraph" w:styleId="9">
    <w:name w:val="TOC 9"/>
    <w:next w:val="Normal"/>
    <w:uiPriority w:val="39"/>
    <w:pPr>
      <w:widowControl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61">
    <w:name w:val="WW8Num1z6"/>
    <w:link w:val="WW8Num1z6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21">
    <w:name w:val="WW8Num1z2"/>
    <w:link w:val="WW8Num1z2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3">
    <w:name w:val=" Знак Знак1"/>
    <w:link w:val="1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">
    <w:name w:val="TOC 8"/>
    <w:next w:val="Normal"/>
    <w:uiPriority w:val="39"/>
    <w:pPr>
      <w:widowControl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38">
    <w:name w:val="Без интервала"/>
    <w:link w:val="Style19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1z51">
    <w:name w:val="WW8Num1z5"/>
    <w:link w:val="WW8Num1z5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WW8Num2z71">
    <w:name w:val="WW8Num2z7"/>
    <w:link w:val="WW8Num2z7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uiPriority w:val="39"/>
    <w:pPr>
      <w:widowControl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DefaultParagraphFont1">
    <w:name w:val="Default Paragraph Font"/>
    <w:link w:val="DefaultParagraphFont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61">
    <w:name w:val="Contents 6"/>
    <w:link w:val="Contents6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tents81">
    <w:name w:val="Contents 8"/>
    <w:link w:val="Contents8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table" w:default="1" w:styleId="Style_5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  <a:prstDash val="solid"/>
        </a:ln>
        <a:ln>
          <a:solidFill>
            <a:schemeClr val="phClr"/>
          </a:solidFill>
          <a:prstDash val="solid"/>
        </a:ln>
        <a:ln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LibreOffice/7.5.6.2$Linux_X86_64 LibreOffice_project/50$Build-2</Application>
  <AppVersion>15.0000</AppVersion>
  <Pages>13</Pages>
  <Words>5052</Words>
  <Characters>36885</Characters>
  <CharactersWithSpaces>41819</CharactersWithSpaces>
  <Paragraphs>187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2025-06-11T16:38:10Z</dcterms:modified>
  <cp:revision>1</cp:revision>
  <dc:subject/>
  <dc:title/>
</cp:coreProperties>
</file>